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0A9" w:rsidRDefault="006970A9" w:rsidP="006970A9">
      <w:pPr>
        <w:rPr>
          <w:b/>
        </w:rPr>
      </w:pPr>
      <w:r>
        <w:rPr>
          <w:b/>
          <w:noProof/>
          <w:lang w:eastAsia="fr-FR"/>
        </w:rPr>
        <w:drawing>
          <wp:inline distT="0" distB="0" distL="0" distR="0">
            <wp:extent cx="1247775" cy="8001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res 2.jpg"/>
                    <pic:cNvPicPr/>
                  </pic:nvPicPr>
                  <pic:blipFill>
                    <a:blip r:embed="rId5">
                      <a:extLst>
                        <a:ext uri="{28A0092B-C50C-407E-A947-70E740481C1C}">
                          <a14:useLocalDpi xmlns:a14="http://schemas.microsoft.com/office/drawing/2010/main" val="0"/>
                        </a:ext>
                      </a:extLst>
                    </a:blip>
                    <a:stretch>
                      <a:fillRect/>
                    </a:stretch>
                  </pic:blipFill>
                  <pic:spPr>
                    <a:xfrm>
                      <a:off x="0" y="0"/>
                      <a:ext cx="1247775" cy="800100"/>
                    </a:xfrm>
                    <a:prstGeom prst="rect">
                      <a:avLst/>
                    </a:prstGeom>
                  </pic:spPr>
                </pic:pic>
              </a:graphicData>
            </a:graphic>
          </wp:inline>
        </w:drawing>
      </w:r>
      <w:r>
        <w:rPr>
          <w:b/>
        </w:rPr>
        <w:t xml:space="preserve">                    La lettre d’INFORES </w:t>
      </w:r>
      <w:r w:rsidRPr="006970A9">
        <w:t>(2013)</w:t>
      </w:r>
    </w:p>
    <w:p w:rsidR="006970A9" w:rsidRDefault="006970A9" w:rsidP="006970A9">
      <w:pPr>
        <w:pStyle w:val="Titre1"/>
        <w:jc w:val="center"/>
      </w:pPr>
      <w:r>
        <w:t>ASSURANCE RESPONSABILITE CIVILE PROFESSIONNELLE ET GARANTIE SUBSEQUENTE</w:t>
      </w:r>
    </w:p>
    <w:p w:rsidR="006970A9" w:rsidRDefault="006970A9">
      <w:bookmarkStart w:id="0" w:name="_GoBack"/>
      <w:bookmarkEnd w:id="0"/>
    </w:p>
    <w:p w:rsidR="006970A9" w:rsidRDefault="006970A9" w:rsidP="009741D3">
      <w:pPr>
        <w:pStyle w:val="Corpsdetexte"/>
        <w:jc w:val="both"/>
      </w:pPr>
      <w:r>
        <w:t>Une garantie subséquente démarre après la résiliation de votre contrat d’assurance en Responsabilité Civile Professionnelle.</w:t>
      </w:r>
    </w:p>
    <w:p w:rsidR="006970A9" w:rsidRDefault="006970A9" w:rsidP="009741D3">
      <w:pPr>
        <w:jc w:val="both"/>
      </w:pPr>
      <w:r>
        <w:t xml:space="preserve">Du fait de cette garantie, l’assureur peut être amené à couvrir les conséquences du fait dommageable survenu pendant la période de validité du contrat d’assurance, même si la réclamation intervient postérieurement à sa résiliation. </w:t>
      </w:r>
    </w:p>
    <w:p w:rsidR="006970A9" w:rsidRDefault="006970A9" w:rsidP="009741D3">
      <w:pPr>
        <w:jc w:val="both"/>
      </w:pPr>
      <w:r>
        <w:t xml:space="preserve">Ce délai subséquent, mis en place par la loi de sécurité financière du 1er août 2003, et qui ne saurait être inférieur à 5 ans, a été porté à 10 ans pour certaines professions (commissaires aux comptes…) et activités (expertise comptable, expertise judiciaire…) conformément à l’article R 124-2 du Code des assurances. </w:t>
      </w:r>
    </w:p>
    <w:p w:rsidR="006970A9" w:rsidRPr="006970A9" w:rsidRDefault="006970A9" w:rsidP="009741D3">
      <w:pPr>
        <w:pStyle w:val="Titre1"/>
        <w:jc w:val="both"/>
      </w:pPr>
      <w:r w:rsidRPr="006970A9">
        <w:t xml:space="preserve">Le montant de couverture est-il évalué au jour de la faute ou à celui de l’assignation ? </w:t>
      </w:r>
    </w:p>
    <w:p w:rsidR="006970A9" w:rsidRDefault="006970A9" w:rsidP="009741D3">
      <w:pPr>
        <w:jc w:val="both"/>
      </w:pPr>
      <w:r>
        <w:t xml:space="preserve">Le montant de couverture est évalué au jour de la réclamation (amiable ou judiciaire). </w:t>
      </w:r>
    </w:p>
    <w:p w:rsidR="006970A9" w:rsidRDefault="006970A9" w:rsidP="009741D3">
      <w:pPr>
        <w:jc w:val="both"/>
      </w:pPr>
      <w:r>
        <w:t xml:space="preserve">Le plafond de la garantie déclenchée pendant le délai subséquent est unique pour l’ensemble de cette période et ne saurait être inférieur à celui de la garantie déclenchée pendant l’année précédant la date de la résiliation du contrat (article L 124-5 du Code des assurances). </w:t>
      </w:r>
    </w:p>
    <w:p w:rsidR="006970A9" w:rsidRPr="006970A9" w:rsidRDefault="006970A9" w:rsidP="009741D3">
      <w:pPr>
        <w:pStyle w:val="Titre1"/>
        <w:jc w:val="both"/>
      </w:pPr>
      <w:r w:rsidRPr="006970A9">
        <w:t xml:space="preserve">Comment cela se passe-t-il au moment du départ en retraite ? </w:t>
      </w:r>
    </w:p>
    <w:p w:rsidR="006970A9" w:rsidRDefault="006970A9" w:rsidP="009741D3">
      <w:pPr>
        <w:jc w:val="both"/>
      </w:pPr>
      <w:r>
        <w:t xml:space="preserve">Le départ en retraite, ainsi que toute autre cessation d’activité (radiation, décès, cession de cabinet) entraîne l’expiration du contrat et constitue le point de départ de la garantie subséquente. </w:t>
      </w:r>
    </w:p>
    <w:p w:rsidR="006970A9" w:rsidRDefault="006970A9" w:rsidP="009741D3">
      <w:pPr>
        <w:jc w:val="both"/>
      </w:pPr>
      <w:r w:rsidRPr="006970A9">
        <w:rPr>
          <w:b/>
        </w:rPr>
        <w:t>Que faut-il vérifier en cas de cession du cabinet et quelle est la couverture d’assurance sur les dossiers repris à la suite de l’acquisition d’une société d’expertise comptable ?</w:t>
      </w:r>
      <w:r>
        <w:t xml:space="preserve"> </w:t>
      </w:r>
    </w:p>
    <w:p w:rsidR="006970A9" w:rsidRDefault="006970A9" w:rsidP="009741D3">
      <w:pPr>
        <w:jc w:val="both"/>
      </w:pPr>
      <w:r>
        <w:t xml:space="preserve">En cas de cession de cabinet, si la garantie d’assurance est </w:t>
      </w:r>
      <w:proofErr w:type="spellStart"/>
      <w:r>
        <w:t>re</w:t>
      </w:r>
      <w:proofErr w:type="spellEnd"/>
      <w:r>
        <w:t>-</w:t>
      </w:r>
      <w:r>
        <w:t xml:space="preserve">souscrite, la garantie subséquente du cabinet racheté n’intervient pas : en principe, toute réclamation postérieure au rachat (même pour des faits dommageables antérieurs) sera prise en charge par le nouveau contrat, sauf en cas de passé connu (fait dommageable connu du cabinet racheté). </w:t>
      </w:r>
    </w:p>
    <w:p w:rsidR="009741D3" w:rsidRDefault="006970A9" w:rsidP="009741D3">
      <w:pPr>
        <w:jc w:val="both"/>
      </w:pPr>
      <w:r>
        <w:t xml:space="preserve">En revanche, si le cabinet racheté n’est pas intégré dans le programme d’assurance et si un contrat n’est pas </w:t>
      </w:r>
      <w:proofErr w:type="spellStart"/>
      <w:r>
        <w:t>re</w:t>
      </w:r>
      <w:proofErr w:type="spellEnd"/>
      <w:r>
        <w:t>-</w:t>
      </w:r>
      <w:r>
        <w:t xml:space="preserve">souscrit, la garantie subséquente du cédant est amenée à jouer à compter de la date de cession. Elle permet ainsi de prendre en charge les sinistres lorsque le fait dommageable était connu et est survenu avant la date de cession. </w:t>
      </w:r>
    </w:p>
    <w:p w:rsidR="00423F0E" w:rsidRDefault="006970A9" w:rsidP="009741D3">
      <w:pPr>
        <w:jc w:val="right"/>
      </w:pPr>
      <w:r>
        <w:t>Gaëtan Le Cornec</w:t>
      </w:r>
    </w:p>
    <w:sectPr w:rsidR="00423F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0A9"/>
    <w:rsid w:val="00423F0E"/>
    <w:rsid w:val="006970A9"/>
    <w:rsid w:val="009741D3"/>
    <w:rsid w:val="00F45A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970A9"/>
    <w:pPr>
      <w:keepNext/>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970A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970A9"/>
    <w:rPr>
      <w:rFonts w:ascii="Tahoma" w:hAnsi="Tahoma" w:cs="Tahoma"/>
      <w:sz w:val="16"/>
      <w:szCs w:val="16"/>
    </w:rPr>
  </w:style>
  <w:style w:type="character" w:customStyle="1" w:styleId="Titre1Car">
    <w:name w:val="Titre 1 Car"/>
    <w:basedOn w:val="Policepardfaut"/>
    <w:link w:val="Titre1"/>
    <w:uiPriority w:val="9"/>
    <w:rsid w:val="006970A9"/>
    <w:rPr>
      <w:b/>
    </w:rPr>
  </w:style>
  <w:style w:type="paragraph" w:styleId="Corpsdetexte">
    <w:name w:val="Body Text"/>
    <w:basedOn w:val="Normal"/>
    <w:link w:val="CorpsdetexteCar"/>
    <w:uiPriority w:val="99"/>
    <w:unhideWhenUsed/>
    <w:rsid w:val="006970A9"/>
    <w:pPr>
      <w:jc w:val="center"/>
    </w:pPr>
  </w:style>
  <w:style w:type="character" w:customStyle="1" w:styleId="CorpsdetexteCar">
    <w:name w:val="Corps de texte Car"/>
    <w:basedOn w:val="Policepardfaut"/>
    <w:link w:val="Corpsdetexte"/>
    <w:uiPriority w:val="99"/>
    <w:rsid w:val="006970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970A9"/>
    <w:pPr>
      <w:keepNext/>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970A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970A9"/>
    <w:rPr>
      <w:rFonts w:ascii="Tahoma" w:hAnsi="Tahoma" w:cs="Tahoma"/>
      <w:sz w:val="16"/>
      <w:szCs w:val="16"/>
    </w:rPr>
  </w:style>
  <w:style w:type="character" w:customStyle="1" w:styleId="Titre1Car">
    <w:name w:val="Titre 1 Car"/>
    <w:basedOn w:val="Policepardfaut"/>
    <w:link w:val="Titre1"/>
    <w:uiPriority w:val="9"/>
    <w:rsid w:val="006970A9"/>
    <w:rPr>
      <w:b/>
    </w:rPr>
  </w:style>
  <w:style w:type="paragraph" w:styleId="Corpsdetexte">
    <w:name w:val="Body Text"/>
    <w:basedOn w:val="Normal"/>
    <w:link w:val="CorpsdetexteCar"/>
    <w:uiPriority w:val="99"/>
    <w:unhideWhenUsed/>
    <w:rsid w:val="006970A9"/>
    <w:pPr>
      <w:jc w:val="center"/>
    </w:pPr>
  </w:style>
  <w:style w:type="character" w:customStyle="1" w:styleId="CorpsdetexteCar">
    <w:name w:val="Corps de texte Car"/>
    <w:basedOn w:val="Policepardfaut"/>
    <w:link w:val="Corpsdetexte"/>
    <w:uiPriority w:val="99"/>
    <w:rsid w:val="00697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371</Words>
  <Characters>2041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HP Inc.</cp:lastModifiedBy>
  <cp:revision>1</cp:revision>
  <dcterms:created xsi:type="dcterms:W3CDTF">2026-06-15T09:46:00Z</dcterms:created>
  <dcterms:modified xsi:type="dcterms:W3CDTF">2026-06-15T09:59:00Z</dcterms:modified>
</cp:coreProperties>
</file>