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7B" w:rsidRDefault="007232F2">
      <w:r>
        <w:rPr>
          <w:noProof/>
          <w:lang w:eastAsia="fr-FR"/>
        </w:rPr>
        <w:drawing>
          <wp:inline distT="0" distB="0" distL="0" distR="0">
            <wp:extent cx="1247775" cy="8001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es 2.jpg"/>
                    <pic:cNvPicPr/>
                  </pic:nvPicPr>
                  <pic:blipFill>
                    <a:blip r:embed="rId7">
                      <a:extLst>
                        <a:ext uri="{28A0092B-C50C-407E-A947-70E740481C1C}">
                          <a14:useLocalDpi xmlns:a14="http://schemas.microsoft.com/office/drawing/2010/main" val="0"/>
                        </a:ext>
                      </a:extLst>
                    </a:blip>
                    <a:stretch>
                      <a:fillRect/>
                    </a:stretch>
                  </pic:blipFill>
                  <pic:spPr>
                    <a:xfrm>
                      <a:off x="0" y="0"/>
                      <a:ext cx="1247775" cy="800100"/>
                    </a:xfrm>
                    <a:prstGeom prst="rect">
                      <a:avLst/>
                    </a:prstGeom>
                  </pic:spPr>
                </pic:pic>
              </a:graphicData>
            </a:graphic>
          </wp:inline>
        </w:drawing>
      </w:r>
      <w:r>
        <w:t xml:space="preserve">  </w:t>
      </w:r>
      <w:r w:rsidR="00EC577B">
        <w:t xml:space="preserve">La Lettre d’INFORES </w:t>
      </w:r>
      <w:proofErr w:type="gramStart"/>
      <w:r w:rsidR="00EC577B">
        <w:t xml:space="preserve">( </w:t>
      </w:r>
      <w:r>
        <w:t>2017</w:t>
      </w:r>
      <w:proofErr w:type="gramEnd"/>
      <w:r>
        <w:t>)</w:t>
      </w:r>
    </w:p>
    <w:p w:rsidR="007232F2" w:rsidRDefault="00285EC0">
      <w:pPr>
        <w:rPr>
          <w:b/>
        </w:rPr>
      </w:pPr>
      <w:r w:rsidRPr="007232F2">
        <w:rPr>
          <w:b/>
        </w:rPr>
        <w:t xml:space="preserve">LA RÉFORME DU DROIT DES CONTRATS </w:t>
      </w:r>
      <w:r w:rsidR="00627FA5">
        <w:rPr>
          <w:b/>
        </w:rPr>
        <w:t>(et la lettre de mission)</w:t>
      </w:r>
    </w:p>
    <w:p w:rsidR="005B1591" w:rsidRPr="007232F2" w:rsidRDefault="005B1591">
      <w:pPr>
        <w:rPr>
          <w:b/>
        </w:rPr>
      </w:pPr>
      <w:bookmarkStart w:id="0" w:name="_GoBack"/>
      <w:bookmarkEnd w:id="0"/>
    </w:p>
    <w:p w:rsidR="007232F2" w:rsidRPr="007232F2" w:rsidRDefault="00285EC0" w:rsidP="005B1591">
      <w:pPr>
        <w:pStyle w:val="Corpsdetexte"/>
        <w:jc w:val="both"/>
      </w:pPr>
      <w:r w:rsidRPr="007232F2">
        <w:t xml:space="preserve">La réforme du droit des contrats a longtemps fait figure de serpent de mer. Tous la considéraient comme nécessaire : il fallait simplifier notre Code de 1804, rendre son style plus accessible, abandonner des notions floues, et clarifier la jurisprudence qui en donnait une interprétation fluctuante, le but affiché étant de renforcer « l’attractivité du droit français » et la sécurité juridique. Pourtant, la réforme devait arriver mais n’arrivait pas. Trop sensible, car la matière recèle des enjeux colossaux, trop technique pour être abordée par des parlementaires </w:t>
      </w:r>
      <w:proofErr w:type="spellStart"/>
      <w:r w:rsidRPr="007232F2">
        <w:t>non initiés</w:t>
      </w:r>
      <w:proofErr w:type="spellEnd"/>
      <w:r w:rsidRPr="007232F2">
        <w:t xml:space="preserve">, trop vaste aussi sans doute, et sacralisée par le poids de l’histoire, beaucoup désespéraient de voir un jour les textes napoléoniens remis en cause. </w:t>
      </w:r>
    </w:p>
    <w:p w:rsidR="007232F2" w:rsidRDefault="00285EC0" w:rsidP="005B1591">
      <w:pPr>
        <w:jc w:val="both"/>
      </w:pPr>
      <w:r>
        <w:t xml:space="preserve">Les projets se sont multipliés (Cf. Projet </w:t>
      </w:r>
      <w:proofErr w:type="spellStart"/>
      <w:r>
        <w:t>Catala</w:t>
      </w:r>
      <w:proofErr w:type="spellEnd"/>
      <w:r>
        <w:t xml:space="preserve"> de 2005 : Projet Terré : Pour une réforme du droit des obligations, Dalloz, « Coll. Thème et commentaires », 2008) en vain ou presque… </w:t>
      </w:r>
    </w:p>
    <w:p w:rsidR="007232F2" w:rsidRDefault="00285EC0" w:rsidP="005B1591">
      <w:pPr>
        <w:jc w:val="both"/>
      </w:pPr>
      <w:r>
        <w:t xml:space="preserve">Puisque ils ont fini par trouver une consécration quelques années plus tard, par l’ordonnance n°2016-131 du 10 février 2016, sous l’intitulé ordonnance « portant réforme du droit des contrats, du régime général de la preuve et des obligations ». </w:t>
      </w:r>
    </w:p>
    <w:p w:rsidR="007232F2" w:rsidRDefault="00285EC0" w:rsidP="005B1591">
      <w:pPr>
        <w:jc w:val="both"/>
      </w:pPr>
      <w:r>
        <w:t xml:space="preserve">La voie de l’ordonnance a permis de contourner l’obstacle technique tandis que les enjeux ont été respectés par une codification qui ne s’est pas vraiment réalisée à « droit constant », car des apports et nouveautés existent, mais ne constitue pas non plus une révolution. </w:t>
      </w:r>
    </w:p>
    <w:p w:rsidR="007232F2" w:rsidRDefault="00285EC0" w:rsidP="005B1591">
      <w:pPr>
        <w:jc w:val="both"/>
      </w:pPr>
      <w:r>
        <w:t xml:space="preserve">En effet, et en ce sens la portée de cette réforme peut être relativisée, pour une grande part les nouveaux textes correspondent soit à une reprise des textes anciens soit à une cristallisation de solutions déjà consacrées par le juge. Ce n’est ainsi qu’à la marge que des principes réellement nouveaux ont été posés. </w:t>
      </w:r>
    </w:p>
    <w:p w:rsidR="007232F2" w:rsidRDefault="00285EC0" w:rsidP="005B1591">
      <w:pPr>
        <w:jc w:val="both"/>
      </w:pPr>
      <w:r>
        <w:t xml:space="preserve">Les piliers demeurent le principe du consensualisme et la protection des parties les plus faibles, auxquelles s’ajoutent la sécurité juridique, le tout devant tendre vers « la justice contractuelle ». (Cf. Rapport du président de la République : « </w:t>
      </w:r>
      <w:r w:rsidRPr="007232F2">
        <w:rPr>
          <w:i/>
        </w:rPr>
        <w:t>On peut (…) rappeler que cet objectif de justice contractuelle ne peut être atteint que si le droit applicable est lisible et accessible, et donc susceptible d’être compris sans l’assistance d’un spécialiste. La sécurité est ainsi à la fois l’un des objectifs de l’ordonnance et le moyen d’atteindre les autres buts, dont celui de la justice contractuelle</w:t>
      </w:r>
      <w:r>
        <w:t xml:space="preserve"> ». </w:t>
      </w:r>
    </w:p>
    <w:p w:rsidR="00627FA5" w:rsidRDefault="00285EC0" w:rsidP="005B1591">
      <w:pPr>
        <w:jc w:val="both"/>
      </w:pPr>
      <w:r>
        <w:t xml:space="preserve">Pour l’expert-comptable, cette réforme est l’occasion de rappeler que la relation qu’il entretient avec son client est contractuelle, </w:t>
      </w:r>
      <w:r w:rsidRPr="00627FA5">
        <w:rPr>
          <w:b/>
        </w:rPr>
        <w:t>la lettre de mission</w:t>
      </w:r>
      <w:r>
        <w:t>, signée ou non, rédigée ou non, correspondant à rien d’autre qu’un contrat d’entreprise, c’est-à-dire une convention par laquelle l’entrepre</w:t>
      </w:r>
      <w:r w:rsidR="00627FA5">
        <w:t>neur, maître d’œuvre - l’expert-</w:t>
      </w:r>
      <w:r>
        <w:t xml:space="preserve">comptable – s’engage à mettre sa compétence, son talent, son savoir-faire – comptable, fiscal, social, c’est le « périmètre de la mission – à la disposition du maître d’ouvrage – le client – moyennant une rémunération prédéfinie – les honoraires. </w:t>
      </w:r>
    </w:p>
    <w:p w:rsidR="00285EC0" w:rsidRDefault="00285EC0" w:rsidP="005B1591">
      <w:pPr>
        <w:jc w:val="both"/>
      </w:pPr>
      <w:r>
        <w:lastRenderedPageBreak/>
        <w:t>Elle est aussi et surtout l’occasion de souligner l’influence qu’elle peut avoir sur sa pratique, et de mettre en exergue les risques qu’il encourt. Seuls les points les plus saillants seront bien entendu abordés, en raisonnant de façon chronologique, c’est à-dire des pourparlers jusqu’à la fin du contrat pouvant se traduire par une mise en cause et une demande de réparation en c</w:t>
      </w:r>
      <w:r>
        <w:t>as de mauvaise exécution de</w:t>
      </w:r>
      <w:r>
        <w:t xml:space="preserve"> la mission.</w:t>
      </w:r>
      <w:r w:rsidRPr="00285EC0">
        <w:t xml:space="preserve"> </w:t>
      </w:r>
      <w:r>
        <w:t>.</w:t>
      </w:r>
    </w:p>
    <w:p w:rsidR="00627FA5" w:rsidRPr="00627FA5" w:rsidRDefault="00627FA5" w:rsidP="005B1591">
      <w:pPr>
        <w:jc w:val="both"/>
        <w:rPr>
          <w:b/>
        </w:rPr>
      </w:pPr>
      <w:r>
        <w:t xml:space="preserve"> </w:t>
      </w:r>
      <w:r w:rsidRPr="00627FA5">
        <w:rPr>
          <w:b/>
        </w:rPr>
        <w:t>•</w:t>
      </w:r>
      <w:r w:rsidR="00285EC0" w:rsidRPr="00627FA5">
        <w:rPr>
          <w:b/>
        </w:rPr>
        <w:t xml:space="preserve"> I –</w:t>
      </w:r>
      <w:r>
        <w:rPr>
          <w:b/>
        </w:rPr>
        <w:t xml:space="preserve"> </w:t>
      </w:r>
      <w:r w:rsidR="00285EC0" w:rsidRPr="00627FA5">
        <w:rPr>
          <w:b/>
        </w:rPr>
        <w:t xml:space="preserve">LA DISPOSITION GÉNÉRALE ET LES DISPOSITIONS SPÉCIALES </w:t>
      </w:r>
    </w:p>
    <w:p w:rsidR="00627FA5" w:rsidRDefault="00285EC0" w:rsidP="005B1591">
      <w:pPr>
        <w:jc w:val="both"/>
      </w:pPr>
      <w:r>
        <w:t xml:space="preserve">A titre liminaire, il convient de relever les termes du manuel de l’article 1105 du Code civil qui ont le mérite de préciser : « </w:t>
      </w:r>
      <w:r w:rsidRPr="00627FA5">
        <w:rPr>
          <w:i/>
        </w:rPr>
        <w:t>Les contrats, qu’ils aient ou non une dénomination propre, sont soumis à des règles générales, qui sont l’objet du présent sous-titre. Les règles particulières à certains contrats sont établies dans les dispositions propres à chacun d’eux. Les règles générales s’appliquent sous réserve de ces règles particulières</w:t>
      </w:r>
      <w:r>
        <w:t xml:space="preserve"> ». </w:t>
      </w:r>
    </w:p>
    <w:p w:rsidR="00627FA5" w:rsidRDefault="00285EC0" w:rsidP="005B1591">
      <w:pPr>
        <w:jc w:val="both"/>
      </w:pPr>
      <w:r>
        <w:t xml:space="preserve">Cette dernière précision est remarquable, en ce sens qu’elle formule expressément un principe, qui jusque-là était seulement connu sous forme d’adage : </w:t>
      </w:r>
      <w:proofErr w:type="spellStart"/>
      <w:r w:rsidRPr="00627FA5">
        <w:rPr>
          <w:i/>
        </w:rPr>
        <w:t>lex</w:t>
      </w:r>
      <w:proofErr w:type="spellEnd"/>
      <w:r w:rsidRPr="00627FA5">
        <w:rPr>
          <w:i/>
        </w:rPr>
        <w:t xml:space="preserve"> </w:t>
      </w:r>
      <w:proofErr w:type="spellStart"/>
      <w:r w:rsidRPr="00627FA5">
        <w:rPr>
          <w:i/>
        </w:rPr>
        <w:t>specialis</w:t>
      </w:r>
      <w:proofErr w:type="spellEnd"/>
      <w:r w:rsidRPr="00627FA5">
        <w:rPr>
          <w:i/>
        </w:rPr>
        <w:t xml:space="preserve"> </w:t>
      </w:r>
      <w:proofErr w:type="spellStart"/>
      <w:r w:rsidRPr="00627FA5">
        <w:rPr>
          <w:i/>
        </w:rPr>
        <w:t>derogat</w:t>
      </w:r>
      <w:proofErr w:type="spellEnd"/>
      <w:r w:rsidRPr="00627FA5">
        <w:rPr>
          <w:i/>
        </w:rPr>
        <w:t xml:space="preserve"> </w:t>
      </w:r>
      <w:proofErr w:type="spellStart"/>
      <w:r w:rsidRPr="00627FA5">
        <w:rPr>
          <w:i/>
        </w:rPr>
        <w:t>generali</w:t>
      </w:r>
      <w:proofErr w:type="spellEnd"/>
      <w:r>
        <w:t xml:space="preserve"> </w:t>
      </w:r>
    </w:p>
    <w:p w:rsidR="00627FA5" w:rsidRDefault="00285EC0" w:rsidP="005B1591">
      <w:pPr>
        <w:jc w:val="both"/>
      </w:pPr>
      <w:r>
        <w:t xml:space="preserve">Sans qu’elle ait une influence déterminante sur la pratique de l’expert-comptable, ce dernier devra garder à l’esprit le principe, d’autant qu’il révèle des problèmes nouveaux. </w:t>
      </w:r>
    </w:p>
    <w:p w:rsidR="00627FA5" w:rsidRDefault="00285EC0" w:rsidP="005B1591">
      <w:pPr>
        <w:jc w:val="both"/>
      </w:pPr>
      <w:r>
        <w:t xml:space="preserve">Par exemple, au moment de la cession d’un fonds de commerce, l’article L.141-1du Code de commerce prévoit dans un article L. 141-1 une série de mention à faire figurer obligatoirement : </w:t>
      </w:r>
    </w:p>
    <w:p w:rsidR="00627FA5" w:rsidRPr="00627FA5" w:rsidRDefault="00285EC0" w:rsidP="005B1591">
      <w:pPr>
        <w:jc w:val="both"/>
        <w:rPr>
          <w:i/>
        </w:rPr>
      </w:pPr>
      <w:r>
        <w:t xml:space="preserve">« </w:t>
      </w:r>
      <w:r w:rsidRPr="00627FA5">
        <w:rPr>
          <w:i/>
        </w:rPr>
        <w:t xml:space="preserve">1° Le nom du précédent vendeur, la date et la nature de son acte d’acquisition et le prix de cette acquisition pour les éléments incorporels, les marchandises et le matériel ; </w:t>
      </w:r>
    </w:p>
    <w:p w:rsidR="00627FA5" w:rsidRPr="00627FA5" w:rsidRDefault="00285EC0" w:rsidP="005B1591">
      <w:pPr>
        <w:jc w:val="both"/>
        <w:rPr>
          <w:i/>
        </w:rPr>
      </w:pPr>
      <w:r w:rsidRPr="00627FA5">
        <w:rPr>
          <w:i/>
        </w:rPr>
        <w:t xml:space="preserve">2° L’état des privilèges et nantissements grevant le fonds ; </w:t>
      </w:r>
    </w:p>
    <w:p w:rsidR="00627FA5" w:rsidRPr="00627FA5" w:rsidRDefault="00285EC0" w:rsidP="005B1591">
      <w:pPr>
        <w:jc w:val="both"/>
        <w:rPr>
          <w:i/>
        </w:rPr>
      </w:pPr>
      <w:r w:rsidRPr="00627FA5">
        <w:rPr>
          <w:i/>
        </w:rPr>
        <w:t xml:space="preserve">3° Le chiffre d’affaires qu’il a réalisé durant les trois exercices comptables précédant celui de la vente, ce nombre étant réduit à la durée de la possession du fonds si elle a été inférieure à trois ans ; 4° Les résultats d’exploitation réalisés pendant le même temps ; </w:t>
      </w:r>
    </w:p>
    <w:p w:rsidR="00627FA5" w:rsidRDefault="00285EC0" w:rsidP="005B1591">
      <w:pPr>
        <w:jc w:val="both"/>
      </w:pPr>
      <w:r w:rsidRPr="00627FA5">
        <w:rPr>
          <w:i/>
        </w:rPr>
        <w:t xml:space="preserve">5° Le bail, sa date, sa durée, le nom et l’adresse du bailleur et du cédant, s’il y a lieu </w:t>
      </w:r>
      <w:r>
        <w:t xml:space="preserve">». </w:t>
      </w:r>
    </w:p>
    <w:p w:rsidR="00627FA5" w:rsidRDefault="00285EC0" w:rsidP="005B1591">
      <w:pPr>
        <w:jc w:val="both"/>
      </w:pPr>
      <w:r>
        <w:t>Parallèlement, le Code civil pose une règle plus générale et subjective d’information (</w:t>
      </w:r>
      <w:proofErr w:type="spellStart"/>
      <w:r>
        <w:t>Cf.infra</w:t>
      </w:r>
      <w:proofErr w:type="spellEnd"/>
      <w:r>
        <w:t xml:space="preserve">). Doit-on donc considérer que la règle spéciale du Code de commerce dispense de la règle générale du Code civil ? </w:t>
      </w:r>
    </w:p>
    <w:p w:rsidR="00627FA5" w:rsidRDefault="00285EC0" w:rsidP="005B1591">
      <w:pPr>
        <w:jc w:val="both"/>
      </w:pPr>
      <w:r>
        <w:t>Nous ne le pensons pas, mais la question se pose ; elle n’a pas encore été tr</w:t>
      </w:r>
      <w:r w:rsidR="00627FA5">
        <w:t>anchée par le juge, et l’expert-</w:t>
      </w:r>
      <w:r>
        <w:t xml:space="preserve">comptable accompagnant un client dans le cadre de la cession d’un fonds ne doit pas la négliger. </w:t>
      </w:r>
    </w:p>
    <w:p w:rsidR="00627FA5" w:rsidRDefault="00627FA5" w:rsidP="005B1591">
      <w:pPr>
        <w:jc w:val="both"/>
      </w:pPr>
      <w:r>
        <w:rPr>
          <w:b/>
        </w:rPr>
        <w:t xml:space="preserve">• </w:t>
      </w:r>
      <w:r w:rsidR="00285EC0" w:rsidRPr="00627FA5">
        <w:rPr>
          <w:b/>
        </w:rPr>
        <w:t>II - LA PHASE PRÉ-CONTRACTUELLE</w:t>
      </w:r>
      <w:r w:rsidR="00285EC0">
        <w:t xml:space="preserve"> </w:t>
      </w:r>
    </w:p>
    <w:p w:rsidR="00627FA5" w:rsidRDefault="00285EC0" w:rsidP="005B1591">
      <w:pPr>
        <w:jc w:val="both"/>
      </w:pPr>
      <w:r>
        <w:t xml:space="preserve">On parle en droit commun de phase </w:t>
      </w:r>
      <w:r w:rsidR="00627FA5">
        <w:t>précontractuelle</w:t>
      </w:r>
      <w:r>
        <w:t xml:space="preserve"> et de négociation. Evidemment l’expert-comptable n’aborde pas cette phase de cette façon. Il y a plutôt prise de contact avec le client, échanges des principaux éléments et définition des besoins de ce dernier. </w:t>
      </w:r>
    </w:p>
    <w:p w:rsidR="00423F0E" w:rsidRDefault="00285EC0" w:rsidP="005B1591">
      <w:pPr>
        <w:jc w:val="both"/>
      </w:pPr>
      <w:r>
        <w:t>La lettre de mission est souvent peu travaillée</w:t>
      </w:r>
      <w:r>
        <w:t xml:space="preserve"> </w:t>
      </w:r>
      <w:r>
        <w:t>et correspond même parfois à un document standard.</w:t>
      </w:r>
    </w:p>
    <w:p w:rsidR="00627FA5" w:rsidRPr="00627FA5" w:rsidRDefault="00627FA5" w:rsidP="005B1591">
      <w:pPr>
        <w:jc w:val="both"/>
        <w:rPr>
          <w:b/>
        </w:rPr>
      </w:pPr>
      <w:r w:rsidRPr="00627FA5">
        <w:rPr>
          <w:b/>
        </w:rPr>
        <w:lastRenderedPageBreak/>
        <w:t>La bonne foi pré</w:t>
      </w:r>
      <w:r w:rsidR="00285EC0" w:rsidRPr="00627FA5">
        <w:rPr>
          <w:b/>
        </w:rPr>
        <w:t xml:space="preserve">contractuelle. </w:t>
      </w:r>
    </w:p>
    <w:p w:rsidR="00423E7C" w:rsidRDefault="00285EC0" w:rsidP="005B1591">
      <w:pPr>
        <w:jc w:val="both"/>
      </w:pPr>
      <w:r>
        <w:t xml:space="preserve">A cet égard, on relèvera un des apports les plus commentés de la réforme : l’article 1134 alinéa 3 disposait que « </w:t>
      </w:r>
      <w:r w:rsidRPr="00627FA5">
        <w:rPr>
          <w:i/>
        </w:rPr>
        <w:t>les conventions doivent s’exécuter de bonne foi</w:t>
      </w:r>
      <w:r>
        <w:t xml:space="preserve"> » ; un nouvel article (1104, al. 1er) le remplace et prévoit que « </w:t>
      </w:r>
      <w:r w:rsidRPr="00423E7C">
        <w:rPr>
          <w:i/>
        </w:rPr>
        <w:t>les contrats doivent être négociés, formés et exécutés de bonne foi</w:t>
      </w:r>
      <w:r>
        <w:t xml:space="preserve"> ». </w:t>
      </w:r>
    </w:p>
    <w:p w:rsidR="00423E7C" w:rsidRDefault="00285EC0" w:rsidP="005B1591">
      <w:pPr>
        <w:jc w:val="both"/>
      </w:pPr>
      <w:r>
        <w:t xml:space="preserve">En ajoutant « </w:t>
      </w:r>
      <w:r w:rsidRPr="00423E7C">
        <w:rPr>
          <w:i/>
        </w:rPr>
        <w:t>négociés</w:t>
      </w:r>
      <w:r>
        <w:t xml:space="preserve"> » et « </w:t>
      </w:r>
      <w:r w:rsidRPr="00423E7C">
        <w:rPr>
          <w:i/>
        </w:rPr>
        <w:t>formés</w:t>
      </w:r>
      <w:r>
        <w:t xml:space="preserve"> », on souligne la nécessité d’être de bonne foi avec son partenaire économique même avant de signer la convention. </w:t>
      </w:r>
    </w:p>
    <w:p w:rsidR="00423E7C" w:rsidRDefault="00285EC0" w:rsidP="005B1591">
      <w:pPr>
        <w:jc w:val="both"/>
      </w:pPr>
      <w:r>
        <w:t xml:space="preserve">Un article 1112, alinéa 1 confirme et précise cette obligation : « </w:t>
      </w:r>
      <w:r w:rsidRPr="00423E7C">
        <w:rPr>
          <w:i/>
        </w:rPr>
        <w:t>l’initiative, le déroulement et la rupture des négociations précontractuelles sont libres. Ils doivent impérativement satisfaire aux exigences de la bonne foi</w:t>
      </w:r>
      <w:r>
        <w:t xml:space="preserve"> ». </w:t>
      </w:r>
    </w:p>
    <w:p w:rsidR="00423E7C" w:rsidRDefault="00285EC0" w:rsidP="005B1591">
      <w:pPr>
        <w:jc w:val="both"/>
      </w:pPr>
      <w:r>
        <w:t xml:space="preserve">Aussi importante soit-elle, cette précision n’emporte par grande conséquence sur le professionnel du chiffre, déjà encadrée par une déontologie rigoureuse, et qui est peu enclin à tromper le client potentiel qu’il reçoit dans son bureau ! </w:t>
      </w:r>
    </w:p>
    <w:p w:rsidR="00423E7C" w:rsidRDefault="00285EC0" w:rsidP="005B1591">
      <w:pPr>
        <w:jc w:val="both"/>
      </w:pPr>
      <w:r>
        <w:t>Toutefois, l’expert-comptable devra l’inclure dans son approche lorsqu’il entend céder ou acheter un cabinet, l’idée étant qu’on ne peut surprendre son potentiel co-contractant, par exemple en s’avançant dans les</w:t>
      </w:r>
      <w:r>
        <w:t xml:space="preserve"> </w:t>
      </w:r>
      <w:r>
        <w:t xml:space="preserve">pourparlers, pour ensuite lui annoncer brutalement que la cession ne présente plus d’intérêt. Il faut être de </w:t>
      </w:r>
      <w:r w:rsidR="00423E7C">
        <w:t>bonnes fois, c’est-à-dire loyales et transparentes</w:t>
      </w:r>
      <w:r>
        <w:t>, dès le stade pré contractuel.</w:t>
      </w:r>
    </w:p>
    <w:p w:rsidR="00423E7C" w:rsidRDefault="00285EC0" w:rsidP="005B1591">
      <w:pPr>
        <w:jc w:val="both"/>
      </w:pPr>
      <w:r>
        <w:t>Cependant, là encore, il faut relativiser la portée de ces nouveaux articles. Le juge avait en effet déjà posé cette exigence, et avait même tracé la ligne entre la nécessité d’être loyale et le principe de liberté de rupture des pourparlers. Ainsi, selon l’arrêt de principe, rendu en</w:t>
      </w:r>
      <w:r w:rsidR="00423E7C">
        <w:t xml:space="preserve"> </w:t>
      </w:r>
      <w:r w:rsidR="004C494A">
        <w:t xml:space="preserve">2003, « </w:t>
      </w:r>
      <w:r w:rsidR="004C494A" w:rsidRPr="00423E7C">
        <w:rPr>
          <w:i/>
        </w:rPr>
        <w:t>le simple fait de contracter, même en connaissance de cause, avec une personne ayant engagé des pourparlers avec un tiers ne constitue pas, en lui-même et sauf s’il est dicté par l’intention de nuire ou s’accompagne de manœuvre frauduleuses, une faute de nature à engager la responsabilité de son auteur</w:t>
      </w:r>
      <w:r w:rsidR="004C494A">
        <w:t xml:space="preserve"> » </w:t>
      </w:r>
      <w:r w:rsidR="004C494A" w:rsidRPr="00423E7C">
        <w:rPr>
          <w:i/>
        </w:rPr>
        <w:t xml:space="preserve">(Arrêt </w:t>
      </w:r>
      <w:proofErr w:type="spellStart"/>
      <w:r w:rsidR="004C494A" w:rsidRPr="00423E7C">
        <w:rPr>
          <w:i/>
        </w:rPr>
        <w:t>Manoukian</w:t>
      </w:r>
      <w:proofErr w:type="spellEnd"/>
      <w:r w:rsidR="004C494A" w:rsidRPr="00423E7C">
        <w:rPr>
          <w:i/>
        </w:rPr>
        <w:t>, Com. 26 nov. 2013, n°0010243)</w:t>
      </w:r>
      <w:r w:rsidR="004C494A">
        <w:t xml:space="preserve">. </w:t>
      </w:r>
    </w:p>
    <w:p w:rsidR="00423E7C" w:rsidRDefault="004C494A" w:rsidP="005B1591">
      <w:pPr>
        <w:jc w:val="both"/>
      </w:pPr>
      <w:r>
        <w:t xml:space="preserve">Rien n’indique que ce point d’équilibre sera remis en cause par les nouveaux textes. </w:t>
      </w:r>
    </w:p>
    <w:p w:rsidR="00423E7C" w:rsidRDefault="004C494A" w:rsidP="005B1591">
      <w:pPr>
        <w:jc w:val="both"/>
      </w:pPr>
      <w:r w:rsidRPr="00423E7C">
        <w:rPr>
          <w:b/>
        </w:rPr>
        <w:t>L’obligation de confidentialité</w:t>
      </w:r>
      <w:r>
        <w:t xml:space="preserve">. </w:t>
      </w:r>
    </w:p>
    <w:p w:rsidR="00423E7C" w:rsidRDefault="004C494A" w:rsidP="005B1591">
      <w:pPr>
        <w:jc w:val="both"/>
      </w:pPr>
      <w:r>
        <w:t xml:space="preserve">C’est dans cette veine que s’inscrit l’obligation de confidentialité. </w:t>
      </w:r>
    </w:p>
    <w:p w:rsidR="00423E7C" w:rsidRDefault="004C494A" w:rsidP="005B1591">
      <w:pPr>
        <w:jc w:val="both"/>
      </w:pPr>
      <w:r>
        <w:t xml:space="preserve">Aux termes de l’article 1112-2 « </w:t>
      </w:r>
      <w:r w:rsidRPr="00423E7C">
        <w:rPr>
          <w:i/>
        </w:rPr>
        <w:t>celui qui utilise ou divulgue sans autorisation une information confidentielle obtenue à l’occasion des négociations engage sa responsabilité dans les conditions de droit commun</w:t>
      </w:r>
      <w:r>
        <w:t xml:space="preserve"> ». </w:t>
      </w:r>
    </w:p>
    <w:p w:rsidR="00423E7C" w:rsidRDefault="004C494A" w:rsidP="005B1591">
      <w:pPr>
        <w:jc w:val="both"/>
      </w:pPr>
      <w:r>
        <w:t xml:space="preserve">Même si aucun texte n’existait, la jurisprudence sanctionnait déjà cette violation sous l’angle de la concurrence déloyale (Ex : Com. 3 juin 1986, n°84 16971). </w:t>
      </w:r>
    </w:p>
    <w:p w:rsidR="00423E7C" w:rsidRPr="00423E7C" w:rsidRDefault="004C494A" w:rsidP="005B1591">
      <w:pPr>
        <w:jc w:val="both"/>
        <w:rPr>
          <w:b/>
        </w:rPr>
      </w:pPr>
      <w:r w:rsidRPr="00423E7C">
        <w:rPr>
          <w:b/>
        </w:rPr>
        <w:t xml:space="preserve">L’obligation d’informer. </w:t>
      </w:r>
    </w:p>
    <w:p w:rsidR="00DD2C18" w:rsidRDefault="004C494A" w:rsidP="005B1591">
      <w:pPr>
        <w:jc w:val="both"/>
      </w:pPr>
      <w:r>
        <w:t xml:space="preserve">Plus intéressant est le nouvel article 1112-1, qui prévoit que « </w:t>
      </w:r>
      <w:r w:rsidRPr="00423E7C">
        <w:rPr>
          <w:i/>
        </w:rPr>
        <w:t>celle des parties qui connaît une information dont l’importance est déterminante pour le consentement de</w:t>
      </w:r>
      <w:r>
        <w:t xml:space="preserve"> </w:t>
      </w:r>
      <w:r w:rsidRPr="00DD2C18">
        <w:rPr>
          <w:i/>
        </w:rPr>
        <w:t>l’autre doit l’en informer dès lors que légitimement, cette dernière ignore cette information ou fait confiance à son cocontractant</w:t>
      </w:r>
      <w:r>
        <w:t xml:space="preserve"> ». </w:t>
      </w:r>
    </w:p>
    <w:p w:rsidR="00DD2C18" w:rsidRDefault="004C494A" w:rsidP="005B1591">
      <w:pPr>
        <w:jc w:val="both"/>
      </w:pPr>
      <w:r>
        <w:lastRenderedPageBreak/>
        <w:t xml:space="preserve">L’expert-comptable qui accompagne son client dans une cession doit avoir présent à l’esprit ce texte qui pourrait aller plus loin que le dol en sanctionnant de façon autonome le défaut d’information. </w:t>
      </w:r>
    </w:p>
    <w:p w:rsidR="00DD2C18" w:rsidRDefault="004C494A" w:rsidP="005B1591">
      <w:pPr>
        <w:jc w:val="both"/>
      </w:pPr>
      <w:r>
        <w:t xml:space="preserve">Cependant et fort heureusement, il est précisé que « Néanmoins, </w:t>
      </w:r>
      <w:r w:rsidRPr="00DD2C18">
        <w:rPr>
          <w:i/>
        </w:rPr>
        <w:t>ce devoir d’information ne porte pas sur l’estimation de la valeur de la prestation</w:t>
      </w:r>
      <w:r>
        <w:t xml:space="preserve"> ». Autrement dit, l’expert-comptable qui accompagne son client dans la cession de titres dont le prix lui paraît favorable n’est pas tenu d’informer ou de faire informer le cocontractant, dès lors que tous les éléments de nature à le déterminer sont en sa possession. </w:t>
      </w:r>
    </w:p>
    <w:p w:rsidR="00DD2C18" w:rsidRDefault="004C494A" w:rsidP="005B1591">
      <w:pPr>
        <w:jc w:val="both"/>
      </w:pPr>
      <w:r>
        <w:t xml:space="preserve">C’est là, du reste, l’application d’une jurisprudence bien établie selon laquelle </w:t>
      </w:r>
      <w:r w:rsidRPr="00DD2C18">
        <w:rPr>
          <w:i/>
        </w:rPr>
        <w:t>« l’acquéreur, même professionnel, n’est pas tenu d’une obligation d’information au profit du vendeur sur la valeur du bien acquis</w:t>
      </w:r>
      <w:r>
        <w:t xml:space="preserve"> » (</w:t>
      </w:r>
      <w:proofErr w:type="spellStart"/>
      <w:r>
        <w:t>Civ</w:t>
      </w:r>
      <w:proofErr w:type="spellEnd"/>
      <w:r>
        <w:t xml:space="preserve">. 3ème 17 janv. 2007, n°06-10442). </w:t>
      </w:r>
    </w:p>
    <w:p w:rsidR="00DD2C18" w:rsidRPr="00DD2C18" w:rsidRDefault="004C494A" w:rsidP="005B1591">
      <w:pPr>
        <w:pStyle w:val="Titre1"/>
        <w:jc w:val="both"/>
      </w:pPr>
      <w:r w:rsidRPr="00DD2C18">
        <w:t xml:space="preserve">III –LA SIGNATURE ET L’EXÉCUTION DU CONTRAT </w:t>
      </w:r>
    </w:p>
    <w:p w:rsidR="00DD2C18" w:rsidRDefault="004C494A" w:rsidP="005B1591">
      <w:pPr>
        <w:jc w:val="both"/>
      </w:pPr>
      <w:r>
        <w:t xml:space="preserve">« </w:t>
      </w:r>
      <w:r w:rsidRPr="00DD2C18">
        <w:rPr>
          <w:i/>
        </w:rPr>
        <w:t xml:space="preserve">On lie les bœufs par les cornes et les hommes par la parole </w:t>
      </w:r>
      <w:r>
        <w:t xml:space="preserve">». </w:t>
      </w:r>
    </w:p>
    <w:p w:rsidR="00DD2C18" w:rsidRDefault="004C494A" w:rsidP="005B1591">
      <w:pPr>
        <w:jc w:val="both"/>
      </w:pPr>
      <w:r>
        <w:t xml:space="preserve">Par cette formule, </w:t>
      </w:r>
      <w:proofErr w:type="spellStart"/>
      <w:r>
        <w:t>Loysel</w:t>
      </w:r>
      <w:proofErr w:type="spellEnd"/>
      <w:r>
        <w:t xml:space="preserve">, juriste du XVIème, définit de façon imagée le principe du consensualisme : l’échange de volonté suffit sans qu’il soit besoin d’un quelconque formalisme. </w:t>
      </w:r>
    </w:p>
    <w:p w:rsidR="00DD2C18" w:rsidRDefault="004C494A" w:rsidP="005B1591">
      <w:pPr>
        <w:jc w:val="both"/>
      </w:pPr>
      <w:r>
        <w:t xml:space="preserve">Autrement dit, un contrat, écrit ou non, précis ou non, reste un contrat. C’est ce qu’indique le nouvel article 1102 selon lequel : </w:t>
      </w:r>
    </w:p>
    <w:p w:rsidR="00DD2C18" w:rsidRDefault="004C494A" w:rsidP="005B1591">
      <w:pPr>
        <w:jc w:val="both"/>
      </w:pPr>
      <w:r>
        <w:t xml:space="preserve">« </w:t>
      </w:r>
      <w:r w:rsidRPr="00DD2C18">
        <w:rPr>
          <w:i/>
        </w:rPr>
        <w:t>Chacun est libre de contracter ou de ne pas contracter, de choisir son cocontractant et de déterminer le contenu et la forme du contrat dans les limites fixées par la loi</w:t>
      </w:r>
      <w:r>
        <w:t xml:space="preserve"> ». </w:t>
      </w:r>
    </w:p>
    <w:p w:rsidR="00DD2C18" w:rsidRDefault="004C494A" w:rsidP="005B1591">
      <w:pPr>
        <w:jc w:val="both"/>
      </w:pPr>
      <w:r>
        <w:t xml:space="preserve">L’article 1113 le dit de façon plus claire encore : </w:t>
      </w:r>
    </w:p>
    <w:p w:rsidR="00DD2C18" w:rsidRDefault="004C494A" w:rsidP="005B1591">
      <w:pPr>
        <w:jc w:val="both"/>
      </w:pPr>
      <w:r>
        <w:t xml:space="preserve">« </w:t>
      </w:r>
      <w:r w:rsidRPr="00DD2C18">
        <w:rPr>
          <w:i/>
        </w:rPr>
        <w:t>Le contrat est formé par la rencontre d’une offre et d’une acceptation par lesquelles les parties manifestent leur volonté de s’engager. Cette volonté peut résulter d’une déclaration ou d’un comportement non équivoque de son auteur</w:t>
      </w:r>
      <w:r>
        <w:t xml:space="preserve"> ». </w:t>
      </w:r>
    </w:p>
    <w:p w:rsidR="00DD2C18" w:rsidRDefault="004C494A" w:rsidP="005B1591">
      <w:pPr>
        <w:jc w:val="both"/>
      </w:pPr>
      <w:r>
        <w:t xml:space="preserve">Pour l’expert-comptable, l’absence de lettre de mission, ne change donc rien à la nature de sa relation avec le client : elle demeure contractuelle. </w:t>
      </w:r>
    </w:p>
    <w:p w:rsidR="00DD2C18" w:rsidRDefault="004C494A" w:rsidP="005B1591">
      <w:pPr>
        <w:jc w:val="both"/>
      </w:pPr>
      <w:r>
        <w:t>En pratique, la difficulté</w:t>
      </w:r>
      <w:r w:rsidR="00DD2C18">
        <w:t xml:space="preserve"> tiendra seulement à la preuve, </w:t>
      </w:r>
      <w:r>
        <w:t xml:space="preserve">notamment de la date ou du contenu du contrat. </w:t>
      </w:r>
    </w:p>
    <w:p w:rsidR="00DD2C18" w:rsidRDefault="004C494A" w:rsidP="005B1591">
      <w:pPr>
        <w:jc w:val="both"/>
      </w:pPr>
      <w:r w:rsidRPr="00DD2C18">
        <w:rPr>
          <w:b/>
        </w:rPr>
        <w:t>Date du contrat.</w:t>
      </w:r>
      <w:r>
        <w:t xml:space="preserve"> </w:t>
      </w:r>
    </w:p>
    <w:p w:rsidR="00DD2C18" w:rsidRDefault="004C494A" w:rsidP="005B1591">
      <w:pPr>
        <w:jc w:val="both"/>
      </w:pPr>
      <w:r>
        <w:t xml:space="preserve">Alors que ce point a toujours été discuté en jurisprudence, le moment où le contrat se forme est désormais clairement fixé. Entre le moment où l’acceptation parvient à l’offrant, et celui où l’acceptation est émise par le destinataire de l’offre, la première solution a été retenue : « </w:t>
      </w:r>
      <w:r w:rsidRPr="00DD2C18">
        <w:rPr>
          <w:i/>
        </w:rPr>
        <w:t>Le contrat est conclu dès que l’acceptation parvient à l’offrant et au lieu où l’acceptation est parvenue</w:t>
      </w:r>
      <w:r>
        <w:t xml:space="preserve"> » (art. 1121). </w:t>
      </w:r>
    </w:p>
    <w:p w:rsidR="00DD2C18" w:rsidRPr="00DD2C18" w:rsidRDefault="004C494A" w:rsidP="005B1591">
      <w:pPr>
        <w:jc w:val="both"/>
        <w:rPr>
          <w:b/>
        </w:rPr>
      </w:pPr>
      <w:r w:rsidRPr="00DD2C18">
        <w:rPr>
          <w:b/>
        </w:rPr>
        <w:t xml:space="preserve">La commune intention des parties. </w:t>
      </w:r>
    </w:p>
    <w:p w:rsidR="00DD2C18" w:rsidRDefault="004C494A" w:rsidP="005B1591">
      <w:pPr>
        <w:jc w:val="both"/>
      </w:pPr>
      <w:r>
        <w:t xml:space="preserve">S’agissant du contenu, si la lettre de mission n’est pas claire, le juge recherchera la commune intention des parties. Ce sont les termes de l’article 1188 alinéa 1, qui reprend en réalité l’ancien </w:t>
      </w:r>
      <w:r>
        <w:lastRenderedPageBreak/>
        <w:t xml:space="preserve">article 1156 : </w:t>
      </w:r>
      <w:r w:rsidRPr="00DD2C18">
        <w:rPr>
          <w:i/>
        </w:rPr>
        <w:t xml:space="preserve">« Un contrat s’interprète d’après la commune intention des parties plutôt qu’en s’arrêtant au sens littéral de ses termes </w:t>
      </w:r>
      <w:r>
        <w:t xml:space="preserve">». </w:t>
      </w:r>
    </w:p>
    <w:p w:rsidR="00DD2C18" w:rsidRDefault="004C494A" w:rsidP="005B1591">
      <w:pPr>
        <w:jc w:val="both"/>
      </w:pPr>
      <w:r>
        <w:t xml:space="preserve">Sur ce point, lorsqu’il y a un doute sur le sens d’une clause, par exemple au sujet de l’étendue de la mission, il existe un fort risque pour que le juge l’interprète au détriment de l’expert-comptable. L’idée étant qu’en bon professionnel, il ne peut laisser un client dans l’ambiguïté, ce dernier devant savoir avec certitude ce qu’il peut attendre de son Conseil et ce qui lui incombe. </w:t>
      </w:r>
    </w:p>
    <w:p w:rsidR="00DD2C18" w:rsidRDefault="004C494A" w:rsidP="005B1591">
      <w:pPr>
        <w:jc w:val="both"/>
      </w:pPr>
      <w:r>
        <w:t xml:space="preserve">C’est encore plus vrai si la qualification de « contrat d’adhésion » est retenue. </w:t>
      </w:r>
    </w:p>
    <w:p w:rsidR="00DD2C18" w:rsidRPr="00DD2C18" w:rsidRDefault="004C494A" w:rsidP="005B1591">
      <w:pPr>
        <w:jc w:val="both"/>
        <w:rPr>
          <w:b/>
        </w:rPr>
      </w:pPr>
      <w:r w:rsidRPr="00DD2C18">
        <w:rPr>
          <w:b/>
        </w:rPr>
        <w:t xml:space="preserve">La question du contrat d’adhésion. </w:t>
      </w:r>
    </w:p>
    <w:p w:rsidR="00DD2C18" w:rsidRDefault="004C494A" w:rsidP="005B1591">
      <w:pPr>
        <w:jc w:val="both"/>
      </w:pPr>
      <w:r>
        <w:t xml:space="preserve">Bien souvent, la lettre de mission est pré-rédigée, et le client la signe telle quelle. Cette pratique a conduit à penser que la lettre de mission était un « </w:t>
      </w:r>
      <w:r w:rsidRPr="00DD2C18">
        <w:rPr>
          <w:i/>
        </w:rPr>
        <w:t>contrat d’adhésion</w:t>
      </w:r>
      <w:r>
        <w:t xml:space="preserve"> ». </w:t>
      </w:r>
    </w:p>
    <w:p w:rsidR="00FE4BD2" w:rsidRDefault="004C494A" w:rsidP="005B1591">
      <w:pPr>
        <w:jc w:val="both"/>
      </w:pPr>
      <w:r>
        <w:t xml:space="preserve">Un nouvel article 1110 du Code civil, dans son alinéa 2 défini le contrat d’adhésion comme « </w:t>
      </w:r>
      <w:r w:rsidRPr="00DD2C18">
        <w:rPr>
          <w:i/>
        </w:rPr>
        <w:t>celui dont les conditions générales, soustraites à la négociation, sont déterminées à l’avance par l’une des parties</w:t>
      </w:r>
      <w:r>
        <w:t xml:space="preserve"> ». </w:t>
      </w:r>
    </w:p>
    <w:p w:rsidR="00FE4BD2" w:rsidRDefault="004C494A" w:rsidP="005B1591">
      <w:pPr>
        <w:jc w:val="both"/>
      </w:pPr>
      <w:r>
        <w:t xml:space="preserve">Il s’oppose au contrat de gré à gré défini par l’alinéa 1 du même article comme celui « </w:t>
      </w:r>
      <w:r w:rsidRPr="00FE4BD2">
        <w:rPr>
          <w:i/>
        </w:rPr>
        <w:t>dont les stipulations sont librement négociées entre les parties</w:t>
      </w:r>
      <w:r>
        <w:t xml:space="preserve"> ». </w:t>
      </w:r>
    </w:p>
    <w:p w:rsidR="00FE4BD2" w:rsidRDefault="004C494A" w:rsidP="005B1591">
      <w:pPr>
        <w:jc w:val="both"/>
      </w:pPr>
      <w:r w:rsidRPr="00FE4BD2">
        <w:rPr>
          <w:b/>
        </w:rPr>
        <w:t>Enjeux de la qualification</w:t>
      </w:r>
      <w:r>
        <w:t xml:space="preserve">. </w:t>
      </w:r>
    </w:p>
    <w:p w:rsidR="00FE4BD2" w:rsidRPr="00FE4BD2" w:rsidRDefault="004C494A" w:rsidP="005B1591">
      <w:pPr>
        <w:jc w:val="both"/>
        <w:rPr>
          <w:i/>
        </w:rPr>
      </w:pPr>
      <w:r>
        <w:t xml:space="preserve">On ignore encore quelle qualification le juge retiendra, et l’enjeu est important, car les contrats d’adhésion obéissent à un régime dérogatoire posé par le nouvel article 1171 : « </w:t>
      </w:r>
      <w:r w:rsidRPr="00FE4BD2">
        <w:rPr>
          <w:i/>
        </w:rPr>
        <w:t>Dans un contrat d’adhésion, toute clause qui crée un déséquilibre significatif entre les droits et obligations des parties au contrat est réputée non écrite</w:t>
      </w:r>
      <w:r>
        <w:t xml:space="preserve">. </w:t>
      </w:r>
      <w:r w:rsidRPr="00FE4BD2">
        <w:rPr>
          <w:i/>
        </w:rPr>
        <w:t>L’appréciation du déséquilibre significatif ne porte ni sur</w:t>
      </w:r>
      <w:r w:rsidR="00FE4BD2" w:rsidRPr="00FE4BD2">
        <w:rPr>
          <w:i/>
        </w:rPr>
        <w:t xml:space="preserve"> l’objet principal du contrat ni sur l’adéquation du prix à la prestation ».</w:t>
      </w:r>
    </w:p>
    <w:p w:rsidR="00FE4BD2" w:rsidRDefault="00EC577B" w:rsidP="005B1591">
      <w:pPr>
        <w:jc w:val="both"/>
      </w:pPr>
      <w:r>
        <w:t xml:space="preserve">Autrement dit, le juge pourrait écarter une stipulation contractuelle bien que le contrat ait été dûment signé par les parties. Ce serait là affirmer l’idée que l’expert-comptable est la partie forte face à son client, partie faible. </w:t>
      </w:r>
    </w:p>
    <w:p w:rsidR="00FE4BD2" w:rsidRDefault="00EC577B" w:rsidP="005B1591">
      <w:pPr>
        <w:jc w:val="both"/>
      </w:pPr>
      <w:r>
        <w:t xml:space="preserve">Concrètement, l’appréciation pourrait par exemple porter sur le délai de préavis. Le principe d’un préavis de trois mois pesant sur le client peut contractuellement être écarté. Néanmoins, si le juge qualifiait la lettre de mission de contrat d’adhésion, il pourrait empêcher une telle réduction de délai, en voyant là un déséquilibre significatif. </w:t>
      </w:r>
      <w:r w:rsidRPr="00FE4BD2">
        <w:rPr>
          <w:i/>
        </w:rPr>
        <w:t>(http://www.experts-comptables.fr)</w:t>
      </w:r>
      <w:r>
        <w:t xml:space="preserve"> </w:t>
      </w:r>
    </w:p>
    <w:p w:rsidR="00FE4BD2" w:rsidRDefault="00EC577B" w:rsidP="005B1591">
      <w:pPr>
        <w:jc w:val="both"/>
      </w:pPr>
      <w:r>
        <w:t xml:space="preserve">Autre conséquence importante d’une telle qualification, le doute sur l’interprétation d’une clause profitera au client : </w:t>
      </w:r>
    </w:p>
    <w:p w:rsidR="00FE4BD2" w:rsidRDefault="00EC577B" w:rsidP="005B1591">
      <w:pPr>
        <w:jc w:val="both"/>
      </w:pPr>
      <w:r>
        <w:t xml:space="preserve">« </w:t>
      </w:r>
      <w:r w:rsidRPr="00FE4BD2">
        <w:rPr>
          <w:i/>
        </w:rPr>
        <w:t xml:space="preserve">Dans le doute, le contrat de gré à gré s’interprète contre le créancier et en faveur du débiteur, et le contrat d’adhésion contre celui qui l’a proposé. </w:t>
      </w:r>
      <w:r>
        <w:t xml:space="preserve">» (1190 Code civil) </w:t>
      </w:r>
    </w:p>
    <w:p w:rsidR="00FE4BD2" w:rsidRDefault="00EC577B" w:rsidP="005B1591">
      <w:pPr>
        <w:jc w:val="both"/>
      </w:pPr>
      <w:r w:rsidRPr="00FE4BD2">
        <w:rPr>
          <w:b/>
        </w:rPr>
        <w:t>Critères de qualification</w:t>
      </w:r>
      <w:r>
        <w:t xml:space="preserve">. </w:t>
      </w:r>
    </w:p>
    <w:p w:rsidR="000040E3" w:rsidRDefault="00EC577B" w:rsidP="005B1591">
      <w:pPr>
        <w:jc w:val="both"/>
      </w:pPr>
      <w:r>
        <w:t xml:space="preserve">Le Conseil de l’Ordre s’est d’ores et déjà saisie de cette question et dans ses nouveaux exemples de lettre de mission propose la clause suivante : « </w:t>
      </w:r>
      <w:r w:rsidRPr="000040E3">
        <w:rPr>
          <w:i/>
        </w:rPr>
        <w:t>les parties, après en avoir discuté, sont convenues de n’apporter aucune dérogation aux conditions générales</w:t>
      </w:r>
      <w:r>
        <w:t xml:space="preserve"> ». </w:t>
      </w:r>
    </w:p>
    <w:p w:rsidR="000040E3" w:rsidRDefault="00EC577B" w:rsidP="005B1591">
      <w:pPr>
        <w:jc w:val="both"/>
      </w:pPr>
      <w:r>
        <w:lastRenderedPageBreak/>
        <w:t xml:space="preserve">Par cette formule, l’expert-comptable pourra démontrer que ce qui a été proposé initialement a été l’objet de discussion et qu’il a été convenu par les parties que les termes présentés étaient acceptables en l’état. </w:t>
      </w:r>
    </w:p>
    <w:p w:rsidR="000040E3" w:rsidRDefault="00EC577B" w:rsidP="005B1591">
      <w:pPr>
        <w:jc w:val="both"/>
      </w:pPr>
      <w:r>
        <w:t xml:space="preserve">Ce serait dire qu’il n’y a rien imposé et que la signature du client procède d’un échange et d’une décision parfaitement éclairée </w:t>
      </w:r>
    </w:p>
    <w:p w:rsidR="000040E3" w:rsidRPr="000040E3" w:rsidRDefault="00EC577B" w:rsidP="005B1591">
      <w:pPr>
        <w:jc w:val="both"/>
        <w:rPr>
          <w:b/>
        </w:rPr>
      </w:pPr>
      <w:r w:rsidRPr="000040E3">
        <w:rPr>
          <w:b/>
        </w:rPr>
        <w:t xml:space="preserve">L’effet obligatoire du contrat entre les parties. </w:t>
      </w:r>
    </w:p>
    <w:p w:rsidR="000040E3" w:rsidRDefault="00EC577B" w:rsidP="005B1591">
      <w:pPr>
        <w:jc w:val="both"/>
      </w:pPr>
      <w:r>
        <w:t xml:space="preserve">A compter de l’échange de volontés, le contrat a évidemment un effet obligatoire. </w:t>
      </w:r>
    </w:p>
    <w:p w:rsidR="000040E3" w:rsidRDefault="00EC577B" w:rsidP="005B1591">
      <w:pPr>
        <w:jc w:val="both"/>
      </w:pPr>
      <w:r>
        <w:t xml:space="preserve">L’expert-comptable devra faire diligence en accomplissant les missions qui lui sont confiées et son client payer le prix de la prestation : les honoraires, sans possibilité, pour l’un ou pour l’autre de s’y soustraire. </w:t>
      </w:r>
    </w:p>
    <w:p w:rsidR="000040E3" w:rsidRDefault="00EC577B" w:rsidP="005B1591">
      <w:pPr>
        <w:jc w:val="both"/>
      </w:pPr>
      <w:r>
        <w:t xml:space="preserve">La seule exception notable tient à la notion d’exception d’inexécution. </w:t>
      </w:r>
    </w:p>
    <w:p w:rsidR="000040E3" w:rsidRPr="00C9161A" w:rsidRDefault="00EC577B" w:rsidP="005B1591">
      <w:pPr>
        <w:jc w:val="both"/>
        <w:rPr>
          <w:b/>
        </w:rPr>
      </w:pPr>
      <w:r w:rsidRPr="00C9161A">
        <w:rPr>
          <w:b/>
        </w:rPr>
        <w:t xml:space="preserve">Exception d’inexécution. </w:t>
      </w:r>
    </w:p>
    <w:p w:rsidR="000040E3" w:rsidRDefault="00EC577B" w:rsidP="005B1591">
      <w:pPr>
        <w:jc w:val="both"/>
      </w:pPr>
      <w:r>
        <w:t xml:space="preserve">Celle-ci est désormais expressément prévue à l’article 1219 : « </w:t>
      </w:r>
      <w:r w:rsidRPr="000040E3">
        <w:rPr>
          <w:i/>
        </w:rPr>
        <w:t xml:space="preserve">une partie peut refuser d’exécuter son obligation, alors même que celle-ci est exigible, si l’autre n’exécute pas la sienne et si cette inexécution est suffisamment grave </w:t>
      </w:r>
      <w:r w:rsidR="000040E3">
        <w:t xml:space="preserve">». </w:t>
      </w:r>
    </w:p>
    <w:p w:rsidR="000040E3" w:rsidRDefault="000040E3" w:rsidP="005B1591">
      <w:pPr>
        <w:jc w:val="both"/>
      </w:pPr>
      <w:r>
        <w:t>C</w:t>
      </w:r>
      <w:r w:rsidR="00EC577B">
        <w:t xml:space="preserve">lassiquement, cette faculté est mise en œuvre par l’expert-comptable dont les honoraires ne sont pas réglés par l’exercice du « </w:t>
      </w:r>
      <w:r w:rsidR="00EC577B" w:rsidRPr="000040E3">
        <w:rPr>
          <w:i/>
        </w:rPr>
        <w:t>droit de rétention</w:t>
      </w:r>
      <w:r w:rsidR="00EC577B">
        <w:t xml:space="preserve"> » (ce qu’il n’est pas au sens juridique, voir en ce sens : CSOEC - Exercice professionnel et déontologie, édition 2014, p. 180). </w:t>
      </w:r>
    </w:p>
    <w:p w:rsidR="000040E3" w:rsidRDefault="00EC577B" w:rsidP="005B1591">
      <w:pPr>
        <w:jc w:val="both"/>
      </w:pPr>
      <w:r>
        <w:t xml:space="preserve">Cet exercice, qui jusque-là ressortait des anciens articles 1948 (« </w:t>
      </w:r>
      <w:r w:rsidRPr="000040E3">
        <w:rPr>
          <w:i/>
        </w:rPr>
        <w:t>Le dépositaire peut retenir le dépôt jusqu’à l’entier paiement de ce qui lui est dû à raison du dépôt</w:t>
      </w:r>
      <w:r>
        <w:t xml:space="preserve"> ») et 2286 du Code civil (« </w:t>
      </w:r>
      <w:r w:rsidRPr="000040E3">
        <w:rPr>
          <w:i/>
        </w:rPr>
        <w:t>Peut se prévaloir d’un droit de rétention sur la chose : 1° Celui à qui la chose a été remise jusqu’au paiement de sa créance ; 2° Celui dont la créance impayée résulte du contrat qui l’oblige à la livrer ; 3° Celui dont la créance impayée est née à l’occasion de la détention de la chose ; 4° Celui qui bénéficie d’un gage sans dépossession. Le droit de rétention se perd par le dessaisissement volontaire</w:t>
      </w:r>
      <w:r>
        <w:t xml:space="preserve"> »), est strictement encadré : </w:t>
      </w:r>
    </w:p>
    <w:p w:rsidR="000040E3" w:rsidRDefault="00EC577B" w:rsidP="005B1591">
      <w:pPr>
        <w:pStyle w:val="Retraitcorpsdetexte"/>
        <w:spacing w:after="0"/>
        <w:ind w:left="0"/>
        <w:jc w:val="both"/>
      </w:pPr>
      <w:r>
        <w:t>- L’expert-comptable doit posséder une créance certaine, liquide et exigible, ce qui implique que le travail</w:t>
      </w:r>
      <w:r w:rsidR="000040E3">
        <w:t xml:space="preserve"> ait été d’ores et déjà réalisé ;</w:t>
      </w:r>
    </w:p>
    <w:p w:rsidR="000040E3" w:rsidRDefault="00EC577B" w:rsidP="005B1591">
      <w:pPr>
        <w:pStyle w:val="En-tte"/>
        <w:tabs>
          <w:tab w:val="clear" w:pos="4536"/>
          <w:tab w:val="clear" w:pos="9072"/>
        </w:tabs>
        <w:spacing w:line="276" w:lineRule="auto"/>
        <w:jc w:val="both"/>
      </w:pPr>
      <w:r>
        <w:t xml:space="preserve">- Il ne peut retenir que le fruit de son travail qui doit être en lien direct avec la créance ; </w:t>
      </w:r>
    </w:p>
    <w:p w:rsidR="000040E3" w:rsidRDefault="00EC577B" w:rsidP="005B1591">
      <w:pPr>
        <w:pStyle w:val="En-tte"/>
        <w:tabs>
          <w:tab w:val="clear" w:pos="4536"/>
          <w:tab w:val="clear" w:pos="9072"/>
        </w:tabs>
        <w:spacing w:line="276" w:lineRule="auto"/>
        <w:jc w:val="both"/>
      </w:pPr>
      <w:r>
        <w:t>- Il ne doit avoir tenté de régler le litige par toutes les voies de conciliation possibles ;</w:t>
      </w:r>
    </w:p>
    <w:p w:rsidR="000040E3" w:rsidRDefault="00EC577B" w:rsidP="005B1591">
      <w:pPr>
        <w:spacing w:after="120"/>
        <w:jc w:val="both"/>
        <w:rPr>
          <w:i/>
        </w:rPr>
      </w:pPr>
      <w:r>
        <w:t xml:space="preserve">- Avoir informé le client par lettre recommandée avec demande d’avis de réception ainsi que le Président du Conseil Régional de l’Ordre dont il relève l’article 168 du décret du 30 mars 2012 qui dispose que : « </w:t>
      </w:r>
      <w:r w:rsidRPr="000040E3">
        <w:rPr>
          <w:i/>
        </w:rPr>
        <w:t xml:space="preserve">Les personnes mentionnés à l’article 141 informent le président du Conseil régional de l’Ordre de la circonscription dans laquelle elles sont inscrites de tout litige contractuel qui les conduit à envisager de procéder à la rétention des travaux effectués faute de paiement des honoraires par le client ou adhérent ». </w:t>
      </w:r>
    </w:p>
    <w:p w:rsidR="000040E3" w:rsidRPr="000040E3" w:rsidRDefault="00EC577B" w:rsidP="005B1591">
      <w:pPr>
        <w:spacing w:after="240"/>
        <w:jc w:val="both"/>
      </w:pPr>
      <w:r w:rsidRPr="000040E3">
        <w:t xml:space="preserve">L’insertion du nouveau texte est à notre avis de nature à renforcer ce qui est communément appelé « </w:t>
      </w:r>
      <w:r w:rsidRPr="00C9161A">
        <w:rPr>
          <w:i/>
        </w:rPr>
        <w:t>le droit de rétention</w:t>
      </w:r>
      <w:r w:rsidRPr="000040E3">
        <w:t xml:space="preserve"> » de l’expert-comptable. </w:t>
      </w:r>
    </w:p>
    <w:p w:rsidR="00EC577B" w:rsidRPr="000040E3" w:rsidRDefault="00EC577B" w:rsidP="005B1591">
      <w:pPr>
        <w:pStyle w:val="Titre1"/>
        <w:jc w:val="both"/>
      </w:pPr>
      <w:r w:rsidRPr="000040E3">
        <w:lastRenderedPageBreak/>
        <w:t xml:space="preserve">IV –LA RÉPARATION DU PRÉJUDICE CAUSÉ PAR L’INEXÉCUTION </w:t>
      </w:r>
    </w:p>
    <w:p w:rsidR="00C9161A" w:rsidRPr="00C9161A" w:rsidRDefault="00EC577B" w:rsidP="005B1591">
      <w:pPr>
        <w:jc w:val="both"/>
        <w:rPr>
          <w:b/>
        </w:rPr>
      </w:pPr>
      <w:r w:rsidRPr="00C9161A">
        <w:rPr>
          <w:b/>
        </w:rPr>
        <w:t xml:space="preserve">Liste de sanctions. </w:t>
      </w:r>
    </w:p>
    <w:p w:rsidR="00C9161A" w:rsidRDefault="00EC577B" w:rsidP="005B1591">
      <w:pPr>
        <w:jc w:val="both"/>
      </w:pPr>
      <w:r>
        <w:t xml:space="preserve">Une partie du nouveau Code est consacrée aux effets du contrat et à la question des conséquences dommageables de l’inexécution du contrat. </w:t>
      </w:r>
    </w:p>
    <w:p w:rsidR="00C9161A" w:rsidRDefault="00EC577B" w:rsidP="005B1591">
      <w:pPr>
        <w:jc w:val="both"/>
      </w:pPr>
      <w:r>
        <w:t xml:space="preserve">Alors que jusque-là l’éventail des sanctions était un peu confus, le nouveau texte apporte une salutaire clarification en dressant, dans un article 1217 une liste : « La partie envers laquelle l’engagement n’a pas été exécuté, ou l’a été imparfaitement, peut : </w:t>
      </w:r>
    </w:p>
    <w:p w:rsidR="00C9161A" w:rsidRPr="00C9161A" w:rsidRDefault="00EC577B" w:rsidP="005B1591">
      <w:pPr>
        <w:spacing w:after="0"/>
        <w:jc w:val="both"/>
        <w:rPr>
          <w:i/>
        </w:rPr>
      </w:pPr>
      <w:r>
        <w:t xml:space="preserve">- </w:t>
      </w:r>
      <w:r w:rsidRPr="00C9161A">
        <w:rPr>
          <w:i/>
        </w:rPr>
        <w:t>Refuser d’exécuter ou suspendre l’exécution de sa p</w:t>
      </w:r>
      <w:r w:rsidR="00C9161A" w:rsidRPr="00C9161A">
        <w:rPr>
          <w:i/>
        </w:rPr>
        <w:t>ropre obligation (</w:t>
      </w:r>
      <w:proofErr w:type="spellStart"/>
      <w:r w:rsidR="00C9161A" w:rsidRPr="00C9161A">
        <w:rPr>
          <w:i/>
        </w:rPr>
        <w:t>Cf.supra</w:t>
      </w:r>
      <w:proofErr w:type="spellEnd"/>
      <w:r w:rsidR="00C9161A" w:rsidRPr="00C9161A">
        <w:rPr>
          <w:i/>
        </w:rPr>
        <w:t xml:space="preserve">) ; </w:t>
      </w:r>
    </w:p>
    <w:p w:rsidR="00C9161A" w:rsidRPr="00C9161A" w:rsidRDefault="00C9161A" w:rsidP="005B1591">
      <w:pPr>
        <w:spacing w:after="0"/>
        <w:jc w:val="both"/>
        <w:rPr>
          <w:i/>
        </w:rPr>
      </w:pPr>
      <w:r w:rsidRPr="00C9161A">
        <w:rPr>
          <w:i/>
        </w:rPr>
        <w:t xml:space="preserve">- </w:t>
      </w:r>
      <w:r w:rsidR="00EC577B" w:rsidRPr="00C9161A">
        <w:rPr>
          <w:i/>
        </w:rPr>
        <w:t>Poursuivre l’exécution forcée en nature de l’obligation ;</w:t>
      </w:r>
    </w:p>
    <w:p w:rsidR="00C9161A" w:rsidRPr="00C9161A" w:rsidRDefault="00EC577B" w:rsidP="005B1591">
      <w:pPr>
        <w:spacing w:after="0"/>
        <w:jc w:val="both"/>
        <w:rPr>
          <w:i/>
        </w:rPr>
      </w:pPr>
      <w:r w:rsidRPr="00C9161A">
        <w:rPr>
          <w:i/>
        </w:rPr>
        <w:t>- Soll</w:t>
      </w:r>
      <w:r w:rsidR="00C9161A" w:rsidRPr="00C9161A">
        <w:rPr>
          <w:i/>
        </w:rPr>
        <w:t>iciter une réduction du prix ;</w:t>
      </w:r>
    </w:p>
    <w:p w:rsidR="00C9161A" w:rsidRPr="00C9161A" w:rsidRDefault="00EC577B" w:rsidP="005B1591">
      <w:pPr>
        <w:spacing w:after="0"/>
        <w:jc w:val="both"/>
        <w:rPr>
          <w:i/>
        </w:rPr>
      </w:pPr>
      <w:r w:rsidRPr="00C9161A">
        <w:rPr>
          <w:i/>
        </w:rPr>
        <w:t xml:space="preserve">- Provoquer la résolution du contrat ; </w:t>
      </w:r>
    </w:p>
    <w:p w:rsidR="00C9161A" w:rsidRPr="00C9161A" w:rsidRDefault="00C9161A" w:rsidP="005B1591">
      <w:pPr>
        <w:spacing w:after="0"/>
        <w:jc w:val="both"/>
        <w:rPr>
          <w:i/>
        </w:rPr>
      </w:pPr>
      <w:r w:rsidRPr="00C9161A">
        <w:rPr>
          <w:i/>
        </w:rPr>
        <w:t xml:space="preserve">- </w:t>
      </w:r>
      <w:r w:rsidR="00EC577B" w:rsidRPr="00C9161A">
        <w:rPr>
          <w:i/>
        </w:rPr>
        <w:t xml:space="preserve">Demander réparation des conséquences de l’inexécution. </w:t>
      </w:r>
    </w:p>
    <w:p w:rsidR="00C9161A" w:rsidRDefault="00EC577B" w:rsidP="005B1591">
      <w:pPr>
        <w:spacing w:after="0"/>
        <w:jc w:val="both"/>
        <w:rPr>
          <w:i/>
        </w:rPr>
      </w:pPr>
      <w:r w:rsidRPr="00C9161A">
        <w:rPr>
          <w:i/>
        </w:rPr>
        <w:t>Les sanctions qui ne sont pas incompatibles peuvent être cumulées ; des dommages et intérêts peuvent toujours s’y ajouter ».</w:t>
      </w:r>
    </w:p>
    <w:p w:rsidR="00C9161A" w:rsidRDefault="00EC577B" w:rsidP="005B1591">
      <w:pPr>
        <w:spacing w:after="0"/>
        <w:jc w:val="both"/>
      </w:pPr>
      <w:r w:rsidRPr="00C9161A">
        <w:rPr>
          <w:i/>
        </w:rPr>
        <w:t xml:space="preserve"> </w:t>
      </w:r>
    </w:p>
    <w:p w:rsidR="00C9161A" w:rsidRPr="00C9161A" w:rsidRDefault="00EC577B" w:rsidP="005B1591">
      <w:pPr>
        <w:jc w:val="both"/>
        <w:rPr>
          <w:b/>
        </w:rPr>
      </w:pPr>
      <w:r w:rsidRPr="00C9161A">
        <w:rPr>
          <w:b/>
        </w:rPr>
        <w:t xml:space="preserve">Le cas particulier de l’exécution en nature. </w:t>
      </w:r>
    </w:p>
    <w:p w:rsidR="00C9161A" w:rsidRDefault="00EC577B" w:rsidP="005B1591">
      <w:pPr>
        <w:jc w:val="both"/>
      </w:pPr>
      <w:r>
        <w:t>Toutes ces sancti</w:t>
      </w:r>
      <w:r w:rsidR="00C9161A">
        <w:t>ons sont applicables à l’expert-</w:t>
      </w:r>
      <w:r>
        <w:t>comptable (la première sera plutôt utilisée par lui) même si nous avons une sérieuse réserve au sujet de l’exécution forcée en nature de l’obligation.</w:t>
      </w:r>
    </w:p>
    <w:p w:rsidR="00C9161A" w:rsidRDefault="00EC577B" w:rsidP="005B1591">
      <w:pPr>
        <w:jc w:val="both"/>
      </w:pPr>
      <w:r>
        <w:t xml:space="preserve"> Celle-ci est prévue à l’article 1221 qui dispose que « </w:t>
      </w:r>
      <w:r w:rsidRPr="00C9161A">
        <w:rPr>
          <w:i/>
        </w:rPr>
        <w:t>Le créancier d’une obligation peut, après mise en demeure, en poursuivre l’exécution en nature, sauf si cette exécution est impossible ou s’il existe une disproportion manifeste entre son coût pour le débiteur et son intérêt pour le créancier</w:t>
      </w:r>
      <w:r>
        <w:t xml:space="preserve"> ». </w:t>
      </w:r>
      <w:r w:rsidR="00C9161A">
        <w:t xml:space="preserve"> </w:t>
      </w:r>
    </w:p>
    <w:p w:rsidR="00C9161A" w:rsidRDefault="00EC577B" w:rsidP="005B1591">
      <w:pPr>
        <w:jc w:val="both"/>
      </w:pPr>
      <w:r>
        <w:t xml:space="preserve">L’idée serait qu’un client mécontent puisse faire condamner un expert-comptable à lui faire établir ses comptes sociaux. A notre avis, compte tenu de la mission, de nature essentiellement intellectuelle, et au principe de confiance qui doit irriguer les relations entre les deux parties, une telle sanction devrait être écartée. </w:t>
      </w:r>
    </w:p>
    <w:p w:rsidR="00C9161A" w:rsidRDefault="00EC577B" w:rsidP="005B1591">
      <w:pPr>
        <w:jc w:val="both"/>
      </w:pPr>
      <w:r>
        <w:t xml:space="preserve">L’expert-comptable plaidera l’impossibilité de procéder à une telle exécution, qui peut tenir à des raisons matérielles et juridiques mais aussi morales voire, selon nous, déontologiques. </w:t>
      </w:r>
    </w:p>
    <w:p w:rsidR="00C9161A" w:rsidRDefault="00EC577B" w:rsidP="005B1591">
      <w:pPr>
        <w:jc w:val="both"/>
      </w:pPr>
      <w:r>
        <w:t xml:space="preserve">En cas de litige, le client sera mieux inspiré de demander des dommages et intérêts et une condamnation à rendre toutes les pièces justificatives. Il s’adressera ensuite à un autre expert-comptable. </w:t>
      </w:r>
    </w:p>
    <w:p w:rsidR="00C9161A" w:rsidRDefault="00EC577B" w:rsidP="005B1591">
      <w:pPr>
        <w:jc w:val="both"/>
      </w:pPr>
      <w:r w:rsidRPr="00C9161A">
        <w:rPr>
          <w:b/>
        </w:rPr>
        <w:t>Dommages et intérêts</w:t>
      </w:r>
      <w:r>
        <w:t xml:space="preserve">. </w:t>
      </w:r>
    </w:p>
    <w:p w:rsidR="00C9161A" w:rsidRDefault="00EC577B" w:rsidP="005B1591">
      <w:pPr>
        <w:jc w:val="both"/>
      </w:pPr>
      <w:r>
        <w:t xml:space="preserve">Sur un terrain indemnitaire, sanction la plus classique, le principe demeure que « </w:t>
      </w:r>
      <w:r w:rsidRPr="00C9161A">
        <w:rPr>
          <w:i/>
        </w:rPr>
        <w:t xml:space="preserve">le débiteur n’est tenu que des dommages et intérêts qui ont été prévus ou qui pouvaient être prévus lors de la conclusion du contrat, sauf lorsque l’inexécution est due à une faute lourde </w:t>
      </w:r>
      <w:r>
        <w:t xml:space="preserve">». </w:t>
      </w:r>
    </w:p>
    <w:p w:rsidR="00C9161A" w:rsidRDefault="00C9161A" w:rsidP="005B1591">
      <w:pPr>
        <w:jc w:val="both"/>
      </w:pPr>
      <w:r>
        <w:t xml:space="preserve">Si </w:t>
      </w:r>
      <w:r w:rsidR="00EC577B">
        <w:t>l’on s’en tient à la jurisprudence ancienne, qui devrait s’appliquer à cet article, un dommage est prévisible lorsqu’il peut être normalement prévu par les contractants au moment de la conclusion de la convention (</w:t>
      </w:r>
      <w:proofErr w:type="spellStart"/>
      <w:r w:rsidR="00EC577B">
        <w:t>Civ</w:t>
      </w:r>
      <w:proofErr w:type="spellEnd"/>
      <w:r w:rsidR="00EC577B">
        <w:t>. 1ère, 25 janv. 1989)</w:t>
      </w:r>
      <w:r>
        <w:t>.</w:t>
      </w:r>
    </w:p>
    <w:p w:rsidR="00C9161A" w:rsidRDefault="00EC577B" w:rsidP="005B1591">
      <w:pPr>
        <w:jc w:val="both"/>
      </w:pPr>
      <w:r>
        <w:lastRenderedPageBreak/>
        <w:t xml:space="preserve">Cette disposition est très utile dans l’inexécution de certains contrats, notamment de transport, l’idée étant qu’un retard peut engendrer des conséquences financières catastrophiques mais que le transporteur n’a pas à les assumer, précisément parce qu’elles n’étaient pas « </w:t>
      </w:r>
      <w:r w:rsidRPr="00C9161A">
        <w:rPr>
          <w:i/>
        </w:rPr>
        <w:t>prévisibles</w:t>
      </w:r>
      <w:r>
        <w:t xml:space="preserve"> ». </w:t>
      </w:r>
    </w:p>
    <w:p w:rsidR="005B1591" w:rsidRDefault="00EC577B" w:rsidP="005B1591">
      <w:pPr>
        <w:jc w:val="both"/>
      </w:pPr>
      <w:r>
        <w:t xml:space="preserve">Elle est en revanche peu exploitée en jurisprudence dans le cadre des missions incombant à un expert-comptable, qui de par leur nature, entrent plus difficilement dans les cas de figure classiquement envisagés. </w:t>
      </w:r>
    </w:p>
    <w:p w:rsidR="005B1591" w:rsidRDefault="00EC577B" w:rsidP="005B1591">
      <w:pPr>
        <w:jc w:val="center"/>
      </w:pPr>
      <w:r>
        <w:t>****</w:t>
      </w:r>
    </w:p>
    <w:p w:rsidR="005B1591" w:rsidRDefault="00EC577B" w:rsidP="005B1591">
      <w:pPr>
        <w:jc w:val="both"/>
      </w:pPr>
      <w:r>
        <w:t xml:space="preserve">Bien que ne constituant pas une révolution de notre droit, la réforme du droit des contrats mérite une attention particulière, et le lecteur ne manquera pas de suivre la réception judiciaire des textes présentés, en souhaitant que le principe de sécurité juridique et de prévisibilité, fondement même de la réforme, ne soient pas mis à mal par la pratique. </w:t>
      </w:r>
    </w:p>
    <w:p w:rsidR="00EC577B" w:rsidRDefault="00EC577B" w:rsidP="005B1591">
      <w:pPr>
        <w:jc w:val="right"/>
      </w:pPr>
      <w:r>
        <w:t>Julien GASBAOUI Avocat au Barreau de PARIS</w:t>
      </w:r>
    </w:p>
    <w:sectPr w:rsidR="00EC57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90C" w:rsidRDefault="00E9690C" w:rsidP="007232F2">
      <w:pPr>
        <w:spacing w:after="0" w:line="240" w:lineRule="auto"/>
      </w:pPr>
      <w:r>
        <w:separator/>
      </w:r>
    </w:p>
  </w:endnote>
  <w:endnote w:type="continuationSeparator" w:id="0">
    <w:p w:rsidR="00E9690C" w:rsidRDefault="00E9690C" w:rsidP="0072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065921"/>
      <w:docPartObj>
        <w:docPartGallery w:val="Page Numbers (Bottom of Page)"/>
        <w:docPartUnique/>
      </w:docPartObj>
    </w:sdtPr>
    <w:sdtContent>
      <w:p w:rsidR="007232F2" w:rsidRDefault="007232F2">
        <w:pPr>
          <w:pStyle w:val="Pieddepage"/>
          <w:jc w:val="center"/>
        </w:pPr>
        <w:r>
          <w:fldChar w:fldCharType="begin"/>
        </w:r>
        <w:r>
          <w:instrText>PAGE   \* MERGEFORMAT</w:instrText>
        </w:r>
        <w:r>
          <w:fldChar w:fldCharType="separate"/>
        </w:r>
        <w:r w:rsidR="005B1591">
          <w:rPr>
            <w:noProof/>
          </w:rPr>
          <w:t>1</w:t>
        </w:r>
        <w:r>
          <w:fldChar w:fldCharType="end"/>
        </w:r>
      </w:p>
    </w:sdtContent>
  </w:sdt>
  <w:p w:rsidR="007232F2" w:rsidRDefault="007232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90C" w:rsidRDefault="00E9690C" w:rsidP="007232F2">
      <w:pPr>
        <w:spacing w:after="0" w:line="240" w:lineRule="auto"/>
      </w:pPr>
      <w:r>
        <w:separator/>
      </w:r>
    </w:p>
  </w:footnote>
  <w:footnote w:type="continuationSeparator" w:id="0">
    <w:p w:rsidR="00E9690C" w:rsidRDefault="00E9690C" w:rsidP="007232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C0"/>
    <w:rsid w:val="000040E3"/>
    <w:rsid w:val="00285EC0"/>
    <w:rsid w:val="00423E7C"/>
    <w:rsid w:val="00423F0E"/>
    <w:rsid w:val="004C494A"/>
    <w:rsid w:val="005B1591"/>
    <w:rsid w:val="00627FA5"/>
    <w:rsid w:val="007232F2"/>
    <w:rsid w:val="00C9161A"/>
    <w:rsid w:val="00DD2C18"/>
    <w:rsid w:val="00E9690C"/>
    <w:rsid w:val="00EC577B"/>
    <w:rsid w:val="00F45A03"/>
    <w:rsid w:val="00FE4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D2C18"/>
    <w:pPr>
      <w:keepNex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32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32F2"/>
    <w:rPr>
      <w:rFonts w:ascii="Tahoma" w:hAnsi="Tahoma" w:cs="Tahoma"/>
      <w:sz w:val="16"/>
      <w:szCs w:val="16"/>
    </w:rPr>
  </w:style>
  <w:style w:type="paragraph" w:styleId="En-tte">
    <w:name w:val="header"/>
    <w:basedOn w:val="Normal"/>
    <w:link w:val="En-tteCar"/>
    <w:uiPriority w:val="99"/>
    <w:unhideWhenUsed/>
    <w:rsid w:val="007232F2"/>
    <w:pPr>
      <w:tabs>
        <w:tab w:val="center" w:pos="4536"/>
        <w:tab w:val="right" w:pos="9072"/>
      </w:tabs>
      <w:spacing w:after="0" w:line="240" w:lineRule="auto"/>
    </w:pPr>
  </w:style>
  <w:style w:type="character" w:customStyle="1" w:styleId="En-tteCar">
    <w:name w:val="En-tête Car"/>
    <w:basedOn w:val="Policepardfaut"/>
    <w:link w:val="En-tte"/>
    <w:uiPriority w:val="99"/>
    <w:rsid w:val="007232F2"/>
  </w:style>
  <w:style w:type="paragraph" w:styleId="Pieddepage">
    <w:name w:val="footer"/>
    <w:basedOn w:val="Normal"/>
    <w:link w:val="PieddepageCar"/>
    <w:uiPriority w:val="99"/>
    <w:unhideWhenUsed/>
    <w:rsid w:val="00723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2F2"/>
  </w:style>
  <w:style w:type="paragraph" w:styleId="Corpsdetexte">
    <w:name w:val="Body Text"/>
    <w:basedOn w:val="Normal"/>
    <w:link w:val="CorpsdetexteCar"/>
    <w:uiPriority w:val="99"/>
    <w:unhideWhenUsed/>
    <w:rsid w:val="007232F2"/>
    <w:pPr>
      <w:pBdr>
        <w:top w:val="single" w:sz="4" w:space="1" w:color="auto"/>
        <w:left w:val="single" w:sz="4" w:space="4" w:color="auto"/>
        <w:bottom w:val="single" w:sz="4" w:space="1" w:color="auto"/>
        <w:right w:val="single" w:sz="4" w:space="4" w:color="auto"/>
      </w:pBdr>
    </w:pPr>
    <w:rPr>
      <w:i/>
    </w:rPr>
  </w:style>
  <w:style w:type="character" w:customStyle="1" w:styleId="CorpsdetexteCar">
    <w:name w:val="Corps de texte Car"/>
    <w:basedOn w:val="Policepardfaut"/>
    <w:link w:val="Corpsdetexte"/>
    <w:uiPriority w:val="99"/>
    <w:rsid w:val="007232F2"/>
    <w:rPr>
      <w:i/>
    </w:rPr>
  </w:style>
  <w:style w:type="character" w:customStyle="1" w:styleId="Titre1Car">
    <w:name w:val="Titre 1 Car"/>
    <w:basedOn w:val="Policepardfaut"/>
    <w:link w:val="Titre1"/>
    <w:uiPriority w:val="9"/>
    <w:rsid w:val="00DD2C18"/>
    <w:rPr>
      <w:b/>
    </w:rPr>
  </w:style>
  <w:style w:type="paragraph" w:styleId="Retraitcorpsdetexte">
    <w:name w:val="Body Text Indent"/>
    <w:basedOn w:val="Normal"/>
    <w:link w:val="RetraitcorpsdetexteCar"/>
    <w:uiPriority w:val="99"/>
    <w:unhideWhenUsed/>
    <w:rsid w:val="000040E3"/>
    <w:pPr>
      <w:ind w:left="708"/>
    </w:pPr>
  </w:style>
  <w:style w:type="character" w:customStyle="1" w:styleId="RetraitcorpsdetexteCar">
    <w:name w:val="Retrait corps de texte Car"/>
    <w:basedOn w:val="Policepardfaut"/>
    <w:link w:val="Retraitcorpsdetexte"/>
    <w:uiPriority w:val="99"/>
    <w:rsid w:val="000040E3"/>
  </w:style>
  <w:style w:type="paragraph" w:styleId="Corpsdetexte2">
    <w:name w:val="Body Text 2"/>
    <w:basedOn w:val="Normal"/>
    <w:link w:val="Corpsdetexte2Car"/>
    <w:uiPriority w:val="99"/>
    <w:unhideWhenUsed/>
    <w:rsid w:val="00C9161A"/>
    <w:rPr>
      <w:color w:val="FF0000"/>
    </w:rPr>
  </w:style>
  <w:style w:type="character" w:customStyle="1" w:styleId="Corpsdetexte2Car">
    <w:name w:val="Corps de texte 2 Car"/>
    <w:basedOn w:val="Policepardfaut"/>
    <w:link w:val="Corpsdetexte2"/>
    <w:uiPriority w:val="99"/>
    <w:rsid w:val="00C9161A"/>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D2C18"/>
    <w:pPr>
      <w:keepNex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32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32F2"/>
    <w:rPr>
      <w:rFonts w:ascii="Tahoma" w:hAnsi="Tahoma" w:cs="Tahoma"/>
      <w:sz w:val="16"/>
      <w:szCs w:val="16"/>
    </w:rPr>
  </w:style>
  <w:style w:type="paragraph" w:styleId="En-tte">
    <w:name w:val="header"/>
    <w:basedOn w:val="Normal"/>
    <w:link w:val="En-tteCar"/>
    <w:uiPriority w:val="99"/>
    <w:unhideWhenUsed/>
    <w:rsid w:val="007232F2"/>
    <w:pPr>
      <w:tabs>
        <w:tab w:val="center" w:pos="4536"/>
        <w:tab w:val="right" w:pos="9072"/>
      </w:tabs>
      <w:spacing w:after="0" w:line="240" w:lineRule="auto"/>
    </w:pPr>
  </w:style>
  <w:style w:type="character" w:customStyle="1" w:styleId="En-tteCar">
    <w:name w:val="En-tête Car"/>
    <w:basedOn w:val="Policepardfaut"/>
    <w:link w:val="En-tte"/>
    <w:uiPriority w:val="99"/>
    <w:rsid w:val="007232F2"/>
  </w:style>
  <w:style w:type="paragraph" w:styleId="Pieddepage">
    <w:name w:val="footer"/>
    <w:basedOn w:val="Normal"/>
    <w:link w:val="PieddepageCar"/>
    <w:uiPriority w:val="99"/>
    <w:unhideWhenUsed/>
    <w:rsid w:val="00723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2F2"/>
  </w:style>
  <w:style w:type="paragraph" w:styleId="Corpsdetexte">
    <w:name w:val="Body Text"/>
    <w:basedOn w:val="Normal"/>
    <w:link w:val="CorpsdetexteCar"/>
    <w:uiPriority w:val="99"/>
    <w:unhideWhenUsed/>
    <w:rsid w:val="007232F2"/>
    <w:pPr>
      <w:pBdr>
        <w:top w:val="single" w:sz="4" w:space="1" w:color="auto"/>
        <w:left w:val="single" w:sz="4" w:space="4" w:color="auto"/>
        <w:bottom w:val="single" w:sz="4" w:space="1" w:color="auto"/>
        <w:right w:val="single" w:sz="4" w:space="4" w:color="auto"/>
      </w:pBdr>
    </w:pPr>
    <w:rPr>
      <w:i/>
    </w:rPr>
  </w:style>
  <w:style w:type="character" w:customStyle="1" w:styleId="CorpsdetexteCar">
    <w:name w:val="Corps de texte Car"/>
    <w:basedOn w:val="Policepardfaut"/>
    <w:link w:val="Corpsdetexte"/>
    <w:uiPriority w:val="99"/>
    <w:rsid w:val="007232F2"/>
    <w:rPr>
      <w:i/>
    </w:rPr>
  </w:style>
  <w:style w:type="character" w:customStyle="1" w:styleId="Titre1Car">
    <w:name w:val="Titre 1 Car"/>
    <w:basedOn w:val="Policepardfaut"/>
    <w:link w:val="Titre1"/>
    <w:uiPriority w:val="9"/>
    <w:rsid w:val="00DD2C18"/>
    <w:rPr>
      <w:b/>
    </w:rPr>
  </w:style>
  <w:style w:type="paragraph" w:styleId="Retraitcorpsdetexte">
    <w:name w:val="Body Text Indent"/>
    <w:basedOn w:val="Normal"/>
    <w:link w:val="RetraitcorpsdetexteCar"/>
    <w:uiPriority w:val="99"/>
    <w:unhideWhenUsed/>
    <w:rsid w:val="000040E3"/>
    <w:pPr>
      <w:ind w:left="708"/>
    </w:pPr>
  </w:style>
  <w:style w:type="character" w:customStyle="1" w:styleId="RetraitcorpsdetexteCar">
    <w:name w:val="Retrait corps de texte Car"/>
    <w:basedOn w:val="Policepardfaut"/>
    <w:link w:val="Retraitcorpsdetexte"/>
    <w:uiPriority w:val="99"/>
    <w:rsid w:val="000040E3"/>
  </w:style>
  <w:style w:type="paragraph" w:styleId="Corpsdetexte2">
    <w:name w:val="Body Text 2"/>
    <w:basedOn w:val="Normal"/>
    <w:link w:val="Corpsdetexte2Car"/>
    <w:uiPriority w:val="99"/>
    <w:unhideWhenUsed/>
    <w:rsid w:val="00C9161A"/>
    <w:rPr>
      <w:color w:val="FF0000"/>
    </w:rPr>
  </w:style>
  <w:style w:type="character" w:customStyle="1" w:styleId="Corpsdetexte2Car">
    <w:name w:val="Corps de texte 2 Car"/>
    <w:basedOn w:val="Policepardfaut"/>
    <w:link w:val="Corpsdetexte2"/>
    <w:uiPriority w:val="99"/>
    <w:rsid w:val="00C9161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3233</Words>
  <Characters>17785</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1</cp:revision>
  <dcterms:created xsi:type="dcterms:W3CDTF">2026-06-15T06:48:00Z</dcterms:created>
  <dcterms:modified xsi:type="dcterms:W3CDTF">2026-06-15T09:21:00Z</dcterms:modified>
</cp:coreProperties>
</file>